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6333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MATRIZ INSTITUCIONAL DE AUDITORÍA Y CRITERIOS DE ACEPTACIÓN</w:t>
              <w:br/>
            </w:r>
            <w:r>
              <w:rPr>
                <w:rFonts w:ascii="Arial" w:hAnsi="Arial"/>
                <w:b/>
                <w:color w:val="E29B2E"/>
                <w:sz w:val="20"/>
              </w:rPr>
              <w:t>SISTEMA DE GESTIÓN Y CONTROL DE COMBUSTIBLE — FUELTRACK ERP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EVALUACIÓN INTEGRAL DE CRITERIOS DE CALIDAD, SEGURIDAD Y USABILIDAD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4A5A6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Área / Componente</w:t>
            </w:r>
          </w:p>
        </w:tc>
        <w:tc>
          <w:tcPr>
            <w:tcW w:type="dxa" w:w="2484"/>
            <w:shd w:fill="4A5A6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Criterio de Aceptación (SRS)</w:t>
            </w:r>
          </w:p>
        </w:tc>
        <w:tc>
          <w:tcPr>
            <w:tcW w:type="dxa" w:w="2484"/>
            <w:shd w:fill="4A5A6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Método de Verificación QA</w:t>
            </w:r>
          </w:p>
        </w:tc>
        <w:tc>
          <w:tcPr>
            <w:tcW w:type="dxa" w:w="2484"/>
            <w:shd w:fill="4A5A6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Dictamen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Seguridad &amp; RBAC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Autenticación JWT, expiración controlada, roles Administrador / Supervisor / Operador y protección de rutas.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Pruebas unitarias de autorización xUnit + prueba de expiración en cliente.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CONFORME (100%)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Gestión de Tanques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Validación de capacidad entre 50 y 100,000 galones. Regla obligatoria: nivel crítico estrictamente menor a la capacidad.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Prueba de validación en tiempo real + bloqueo en TanquesPage.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CONFORME (100%)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Despacho &amp; Móvil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Atomicidad en decremento de inventario, rechazo de tickets vencidos o anulados, no concurrencia negativa.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284 pruebas unitarias de backend con simulación de despachos concurrentes.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CONFORME (100%)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Tickets &amp; Sellos QR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Generación de PDF formal QuestPDF con código QR embebido, sello HMAC-SHA256 y triple firma de responsabilidad.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Inspección visual de PDF generado y prueba de renderizado con QRCoder.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CONFORME (100%)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Cierre Diario &amp; Actas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Balance diario por tanque, cálculo de diferencias, persistencia on-demand de Acta PDF con semáforo de descuadre.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Prueba de generación bajo demanda en CierreDiarioService + descarga en navegador.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CONFORME (100%)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Recepciones de Combustible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Control de espacio libre en tanque antes de la descarga, validación de factura/conduce y comprobante digital imprimible.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Prueba de advertencia en frontend ante recepción superior a espacio disponible.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CONFORME (100%)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Reglas de Negocio RD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Validación estricta de RNC (9/11 dígitos), Cédula (11 dígitos), Teléfonos (809/829/849) y Placas de vehículos.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Suite de pruebas en validators.js y validación de formularios reactivos.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CONFORME (100%)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Reportes &amp; Consultas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Control de rango de fechas (Desde &lt;= Hasta) y exportación fidedigna en formatos CSV, Excel y PDF.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Prueba de intercepción con validateRangoFechas y exportación con apiDownload.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CONFORME (100%)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Notificaciones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Notificación asíncrona ante inventario bajo y tickets próximos a vencer, reintento controlado en fallidas.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Pruebas de canal interno, deduplicación y reintento en NotificacionesPage.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CONFORME (100%)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Ergonomía &amp; Accesibilidad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Contraste WCAG AA en insignias de estado, altura mínima de interacción de 38px y diseño responsivo.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Auditoría visual con oxlint y revisión de diseño en resoluciones estándar y táctiles.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CONFORME (100%)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b/>
                <w:color w:val="16333A"/>
                <w:sz w:val="17"/>
              </w:rPr>
              <w:t>Rowlis Trinidad</w:t>
              <w:br/>
            </w:r>
            <w:r>
              <w:rPr>
                <w:color w:val="4A5A63"/>
                <w:sz w:val="16"/>
              </w:rPr>
              <w:t>Ingeniero Líder de QA</w:t>
              <w:br/>
            </w:r>
            <w:r>
              <w:rPr>
                <w:b/>
                <w:color w:val="2E7D5B"/>
                <w:sz w:val="15"/>
              </w:rPr>
              <w:t>Aprobado 100%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b/>
                <w:color w:val="16333A"/>
                <w:sz w:val="17"/>
              </w:rPr>
              <w:t>Comité de Arquitectura</w:t>
              <w:br/>
            </w:r>
            <w:r>
              <w:rPr>
                <w:color w:val="4A5A63"/>
                <w:sz w:val="16"/>
              </w:rPr>
              <w:t>Desarrollo de Software</w:t>
              <w:br/>
            </w:r>
            <w:r>
              <w:rPr>
                <w:b/>
                <w:color w:val="2E7D5B"/>
                <w:sz w:val="15"/>
              </w:rPr>
              <w:t>Conformidad Técnica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b/>
                <w:color w:val="16333A"/>
                <w:sz w:val="17"/>
              </w:rPr>
              <w:t>Gerencia de Proyecto</w:t>
              <w:br/>
            </w:r>
            <w:r>
              <w:rPr>
                <w:color w:val="4A5A63"/>
                <w:sz w:val="16"/>
              </w:rPr>
              <w:t>Operaciones ERP</w:t>
              <w:br/>
            </w:r>
            <w:r>
              <w:rPr>
                <w:b/>
                <w:color w:val="2E7D5B"/>
                <w:sz w:val="15"/>
              </w:rPr>
              <w:t>Certificación Final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A63"/>
        <w:sz w:val="16"/>
      </w:rPr>
      <w:t>MATRIZ INSTITUCIONAL DE AUDITORÍA Y CRITERIOS DE ACEPTACIÓN  •  PÁGINA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A63"/>
        <w:sz w:val="16"/>
      </w:rPr>
      <w:t>SISTEMA FUELTRACK ERP  |  MATRIZ DE CALIDAD  |  DOC-QA-01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