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 name="Picture 1"/>
            <wp:cNvGraphicFramePr>
              <a:graphicFrameLocks noChangeAspect="1"/>
            </wp:cNvGraphicFramePr>
            <a:graphic>
              <a:graphicData uri="http://schemas.openxmlformats.org/drawingml/2006/picture">
                <pic:pic>
                  <pic:nvPicPr>
                    <pic:cNvPr id="0" name="05_model_failure_coherence.png"/>
                    <pic:cNvPicPr/>
                  </pic:nvPicPr>
                  <pic:blipFill>
                    <a:blip r:embed="rId9"/>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04_시장은_신호의_실패방식으로_드러난다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