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9_book_excerpt_liquid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다시 읽자 이 문장들은 같은 문제를 가리키고 있었다. 내가 관측한 수익률은 시장의 성질인가, 아니면 내가 선택한 측정 방식의 성질인가. 유동성 상위 80%라는 숫자는 시장의 보편 법칙이 아니라, 운용 규모와 주문 방식이 바뀌면 함께 바뀌는 제약조건일 수 있다. 거래회전율이 높다는 사실은 관심이 많다는 뜻이 아니라 기관의 리밸런싱이나 유동성 공급의 결과일 수 있다. 여러 모델이 같은 종목을 고르는 일도 독립된 증거가 아니라 같은 가격 데이터를 여러 번 센 결과일 수 있다.</w:t>
      </w:r>
    </w:p>
    <w:p>
      <w:pPr>
        <w:spacing w:after="160" w:line="320" w:lineRule="auto"/>
      </w:pPr>
      <w:r>
        <w:rPr>
          <w:rFonts w:ascii="Malgun Gothic" w:hAnsi="Malgun Gothic" w:eastAsia="Malgun Gothic"/>
          <w:sz w:val="22"/>
        </w:rPr>
        <w:t>이 지점에서 책의 결론을 정리하는 글과 연구 노트는 갈라진다. 독후감이라면 저자의 설명을 이해한 뒤 그 의미를 적으면 된다. 나는 이번에는 그 설명이 어떤 전제 위에서만 성립하는지 적고 싶었다. 그리고 그 전제가 틀렸을 때 결과가 어떻게 달라지는지, 내가 가진 한국 주식 수정주가·거래량·시가총액 데이터로 직접 확인하고 싶었다.</w:t>
      </w:r>
    </w:p>
    <w:p>
      <w:pPr>
        <w:spacing w:after="160" w:line="320" w:lineRule="auto"/>
      </w:pPr>
      <w:r>
        <w:rPr>
          <w:rFonts w:ascii="Malgun Gothic" w:hAnsi="Malgun Gothic" w:eastAsia="Malgun Gothic"/>
          <w:sz w:val="22"/>
        </w:rPr>
        <w:t>그래서 책의 결론을 재현하지 않기로 했다. 책에서 한 문장을 읽을 때마다 그 문장이 의존하는 전제를 하나씩 분리하고, 반대 방향의 검증을 붙였다. 결과가 책과 다르다고 해서 책이 틀렸다는 뜻은 아니다. 시장, 표본, 비용, 보유기간, 그리고 같은 숫자에 붙인 이름이 달라졌다는 뜻이다. 오히려 그 차이를 확인해야 책의 문장이 어느 범위에서 유효한지 알 수 있다.</w:t>
      </w:r>
    </w:p>
    <w:p>
      <w:pPr>
        <w:spacing w:after="160" w:line="320" w:lineRule="auto"/>
      </w:pPr>
      <w:r>
        <w:rPr>
          <w:rFonts w:ascii="Malgun Gothic" w:hAnsi="Malgun Gothic" w:eastAsia="Malgun Gothic"/>
          <w:sz w:val="22"/>
        </w:rPr>
        <w:t>## 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나는 유동성 컷, 보유 종목 수, 운용 규모, 거래비용을 함께 움직였다. 목표는 수익률이 가장 높은 점 하나를 찾는 일이 아니었다. 비용을 조금 올리고 유동성 기준을 한 칸 바꿔도 남는 전략 영역이 있는지 확인하는 일이었다. 1편에서 이 결과를 ‘봉우리’와 ‘대륙’이라는 질문으로 정리한다.</w:t>
      </w:r>
    </w:p>
    <w:p>
      <w:pPr>
        <w:spacing w:after="160" w:line="320" w:lineRule="auto"/>
      </w:pPr>
      <w:r>
        <w:rPr>
          <w:rFonts w:ascii="Malgun Gothic" w:hAnsi="Malgun Gothic" w:eastAsia="Malgun Gothic"/>
          <w:sz w:val="22"/>
        </w:rPr>
        <w:t>## 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이 질문은 인기주의 예후를 맞히는 문제가 아니다. 무엇을 관측하지 못하고 있으면서 관심이라는 이름을 붙였는지 확인하는 문제다. 2편은 이 편리한 해석이 실제 데이터에서 무너지는 과정을 기록한다.</w:t>
      </w:r>
    </w:p>
    <w:p>
      <w:pPr>
        <w:spacing w:after="160" w:line="320" w:lineRule="auto"/>
      </w:pPr>
      <w:r>
        <w:rPr>
          <w:rFonts w:ascii="Malgun Gothic" w:hAnsi="Malgun Gothic" w:eastAsia="Malgun Gothic"/>
          <w:sz w:val="22"/>
        </w:rPr>
        <w:t>## 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하지만 서로 다른 이름의 모델이 모두 가격·거래량·시가총액에서 출발했다면, 그 표는 독립적이지 않다. 여러 사람이 같은 기사 하나를 읽고 같은 결론을 냈다고 해서 근거가 여러 배가 되지는 않는다. 3편에서는 실제로 모델의 표를 많이 받은 종목만 모았을 때 왜 성과가 무너졌는지 확인한다.</w:t>
      </w:r>
    </w:p>
    <w:p>
      <w:pPr>
        <w:spacing w:after="160" w:line="320" w:lineRule="auto"/>
      </w:pPr>
      <w:r>
        <w:rPr>
          <w:rFonts w:ascii="Malgun Gothic" w:hAnsi="Malgun Gothic" w:eastAsia="Malgun Gothic"/>
          <w:sz w:val="22"/>
        </w:rPr>
        <w:t>## 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그래서 질문을 바꿨다. 어느 모델이 이길지를 묻는 대신, 서로 다른 모델이 같은 시점에 기대를 배반하는지를 보자. 시장의 상태는 상승·하락 같은 사후 이름보다, 내가 독립적이라고 믿었던 모델들이 함께 틀리는 방식으로 더 먼저 드러날 수 있다. 4편은 이 가설을 작은 표본의 예측 규칙으로 과장하지 않고, 검증 가능한 상태 변수로 바꾸는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좋은 연구는 결론을 많이 모으는 일이 아니라, 어떤 결론을 아직 말할 수 없는지 구분하는 일에서 시작한다고 보기 때문이다.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① 유동성 상위 80%는 누구에게 최적인가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p>
      <w:pPr>
        <w:keepNext/>
        <w:spacing w:before="120" w:after="60"/>
        <w:jc w:val="center"/>
      </w:pPr>
      <w:r>
        <w:drawing>
          <wp:inline xmlns:a="http://schemas.openxmlformats.org/drawingml/2006/main" xmlns:pic="http://schemas.openxmlformats.org/drawingml/2006/picture">
            <wp:extent cx="5577840" cy="2417064"/>
            <wp:docPr id="2" name="Picture 2"/>
            <wp:cNvGraphicFramePr>
              <a:graphicFrameLocks noChangeAspect="1"/>
            </wp:cNvGraphicFramePr>
            <a:graphic>
              <a:graphicData uri="http://schemas.openxmlformats.org/drawingml/2006/picture">
                <pic:pic>
                  <pic:nvPicPr>
                    <pic:cNvPr id="0" name="09_book_excerpt_liquid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인접한 조건에서도 남는 결과는 다른 의미를 가진다. 나는 전자를 봉우리, 후자를 대륙이라고 부르기로 했다.</w:t>
      </w:r>
    </w:p>
    <w:p>
      <w:pPr>
        <w:spacing w:after="160" w:line="320" w:lineRule="auto"/>
      </w:pPr>
      <w:r>
        <w:rPr>
          <w:rFonts w:ascii="Malgun Gothic" w:hAnsi="Malgun Gothic" w:eastAsia="Malgun Gothic"/>
          <w:sz w:val="22"/>
        </w:rPr>
        <w:t>## 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거래비용</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기본 가정의 0.5 · 1.0 · 1.5 · 2.0배</w:t>
            </w:r>
          </w:p>
        </w:tc>
      </w:tr>
    </w:tbl>
    <w:p>
      <w:pPr>
        <w:spacing w:after="0"/>
      </w:pPr>
    </w:p>
    <w:p>
      <w:pPr>
        <w:spacing w:after="160" w:line="320" w:lineRule="auto"/>
      </w:pPr>
      <w:r>
        <w:rPr>
          <w:rFonts w:ascii="Malgun Gothic" w:hAnsi="Malgun Gothic" w:eastAsia="Malgun Gothic"/>
          <w:sz w:val="22"/>
        </w:rPr>
        <w:t>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3" name="Picture 3"/>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spacing w:after="160" w:line="320" w:lineRule="auto"/>
      </w:pPr>
      <w:r>
        <w:rPr>
          <w:rFonts w:ascii="Malgun Gothic" w:hAnsi="Malgun Gothic" w:eastAsia="Malgun Gothic"/>
          <w:sz w:val="22"/>
        </w:rPr>
        <w:t>## 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거래비용을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spacing w:after="160" w:line="320" w:lineRule="auto"/>
      </w:pPr>
      <w:r>
        <w:rPr>
          <w:rFonts w:ascii="Malgun Gothic" w:hAnsi="Malgun Gothic" w:eastAsia="Malgun Gothic"/>
          <w:sz w:val="22"/>
        </w:rPr>
        <w:t>## 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대륙 12개는 남았지만, 저변동성 대륙은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 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0 아래로 내려간다.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spacing w:after="160" w:line="320" w:lineRule="auto"/>
      </w:pPr>
      <w:r>
        <w:rPr>
          <w:rFonts w:ascii="Malgun Gothic" w:hAnsi="Malgun Gothic" w:eastAsia="Malgun Gothic"/>
          <w:sz w:val="22"/>
        </w:rPr>
        <w:t>## 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가장 높은 봉우리가 아니라, 비용·규모·유동성이라는 현실의 제약을 바꿔도 남는 대륙이어야 한다. 다음 질문은 그 대륙을 만들어내는 보상은 무엇이며, 실제 주문 장부에서도 그 보상이 남는가다.</w:t>
      </w:r>
    </w:p>
    <w:p>
      <w:pPr>
        <w:pStyle w:val="Heading2"/>
      </w:pPr>
      <w:r>
        <w:t>재현 자료</w:t>
      </w:r>
    </w:p>
    <w:p>
      <w:pPr>
        <w:pStyle w:val="ListBullet"/>
        <w:spacing w:after="80"/>
      </w:pPr>
      <w:r>
        <w:rPr>
          <w:rFonts w:ascii="Malgun Gothic" w:hAnsi="Malgun Gothic" w:eastAsia="Malgun Gothic"/>
          <w:color w:val="373737"/>
          <w:sz w:val="19"/>
        </w:rPr>
        <w:t>실험 코드: https://github.com/Rowoon-Lee5/metric_studio_by_moon/blob/main/experiments/alpha_topology.py</w:t>
      </w:r>
    </w:p>
    <w:p>
      <w:pPr>
        <w:pStyle w:val="ListBullet"/>
        <w:spacing w:after="80"/>
      </w:pPr>
      <w:r>
        <w:rPr>
          <w:rFonts w:ascii="Malgun Gothic" w:hAnsi="Malgun Gothic" w:eastAsia="Malgun Gothic"/>
          <w:color w:val="373737"/>
          <w:sz w:val="19"/>
        </w:rPr>
        <w:t>다중검정 보정 코드: https://github.com/Rowoon-Lee5/metric_studio_by_moon/blob/main/experiments/reality_check.py</w:t>
      </w:r>
    </w:p>
    <w:p>
      <w:pPr>
        <w:pStyle w:val="ListBullet"/>
        <w:spacing w:after="80"/>
      </w:pPr>
      <w:r>
        <w:rPr>
          <w:rFonts w:ascii="Malgun Gothic" w:hAnsi="Malgun Gothic" w:eastAsia="Malgun Gothic"/>
          <w:color w:val="373737"/>
          <w:sz w:val="19"/>
        </w:rPr>
        <w:t>전략별 결과: https://github.com/Rowoon-Lee5/metric_studio_by_moon/blob/main/results/alpha_topology_nodes.csv</w:t>
      </w:r>
    </w:p>
    <w:p>
      <w:pPr>
        <w:pStyle w:val="ListBullet"/>
        <w:spacing w:after="80"/>
      </w:pPr>
      <w:r>
        <w:rPr>
          <w:rFonts w:ascii="Malgun Gothic" w:hAnsi="Malgun Gothic" w:eastAsia="Malgun Gothic"/>
          <w:color w:val="373737"/>
          <w:sz w:val="19"/>
        </w:rPr>
        <w:t>가족단위 현실성 검정 결과: https://github.com/Rowoon-Lee5/metric_studio_by_moon/blob/main/results/reality_check_report.json</w:t>
      </w:r>
    </w:p>
    <w:p>
      <w:pPr>
        <w:pStyle w:val="ListBullet"/>
        <w:spacing w:after="80"/>
      </w:pPr>
      <w:r>
        <w:rPr>
          <w:rFonts w:ascii="Malgun Gothic" w:hAnsi="Malgun Gothic" w:eastAsia="Malgun Gothic"/>
          <w:color w:val="373737"/>
          <w:sz w:val="19"/>
        </w:rPr>
        <w:t>시간 분할·커버리지 감사 결과: https://github.com/Rowoon-Lee5/metric_studio_by_moon/blob/main/results/robustness_audit_report.json</w:t>
      </w:r>
    </w:p>
    <w:p>
      <w:pPr>
        <w:pStyle w:val="ListBullet"/>
        <w:spacing w:after="80"/>
      </w:pPr>
      <w:r>
        <w:rPr>
          <w:rFonts w:ascii="Malgun Gothic" w:hAnsi="Malgun Gothic" w:eastAsia="Malgun Gothic"/>
          <w:color w:val="373737"/>
          <w:sz w:val="19"/>
        </w:rPr>
        <w:t>거래정지 보정 결과: https://github.com/Rowoon-Lee5/metric_studio_by_moon/blob/main/results/suspension_screen_audit_report.json</w:t>
      </w:r>
    </w:p>
    <w:p>
      <w:pPr>
        <w:pStyle w:val="ListBullet"/>
        <w:spacing w:after="80"/>
      </w:pPr>
      <w:r>
        <w:rPr>
          <w:rFonts w:ascii="Malgun Gothic" w:hAnsi="Malgun Gothic" w:eastAsia="Malgun Gothic"/>
          <w:color w:val="373737"/>
          <w:sz w:val="19"/>
        </w:rPr>
        <w:t>상장폐지 유니버스 포함 감사: https://github.com/Rowoon-Lee5/metric_studio_by_moon/blob/main/results/delisting_universe_audit_report.json</w:t>
      </w:r>
    </w:p>
    <w:p>
      <w:pPr>
        <w:pStyle w:val="ListBullet"/>
        <w:spacing w:after="80"/>
      </w:pPr>
      <w:r>
        <w:rPr>
          <w:rFonts w:ascii="Malgun Gothic" w:hAnsi="Malgun Gothic" w:eastAsia="Malgun Gothic"/>
          <w:color w:val="373737"/>
          <w:sz w:val="19"/>
        </w:rPr>
        <w:t>PIT·실행비용·종료사건 보정 감사: https://github.com/Rowoon-Lee5/metric_studio_by_moon/blob/main/results/closure_audits_report.json</w:t>
      </w:r>
    </w:p>
    <w:p>
      <w:pPr>
        <w:pStyle w:val="ListBullet"/>
        <w:spacing w:after="80"/>
      </w:pPr>
      <w:r>
        <w:rPr>
          <w:rFonts w:ascii="Malgun Gothic" w:hAnsi="Malgun Gothic" w:eastAsia="Malgun Gothic"/>
          <w:color w:val="373737"/>
          <w:sz w:val="19"/>
        </w:rPr>
        <w:t>유동성 매칭 벤치마크·실제 교체율 감사: https://github.com/Rowoon-Lee5/metric_studio_by_moon/blob/main/results/benchmark_turnover_audit_report.json</w:t>
      </w:r>
    </w:p>
    <w:p>
      <w:pPr>
        <w:pStyle w:val="ListBullet"/>
        <w:spacing w:after="80"/>
      </w:pPr>
      <w:r>
        <w:rPr>
          <w:rFonts w:ascii="Malgun Gothic" w:hAnsi="Malgun Gothic" w:eastAsia="Malgun Gothic"/>
          <w:color w:val="373737"/>
          <w:sz w:val="19"/>
        </w:rPr>
        <w:t>DART 종료사건 공시 탐색 결과: https://github.com/Rowoon-Lee5/metric_studio_by_moon/blob/main/results/dart_terminal_event_discovery_report.json</w:t>
      </w:r>
    </w:p>
    <w:p>
      <w:pPr>
        <w:spacing w:after="160" w:line="320" w:lineRule="auto"/>
      </w:pPr>
      <w:r>
        <w:rPr>
          <w:rFonts w:ascii="Malgun Gothic" w:hAnsi="Malgun Gothic" w:eastAsia="Malgun Gothic"/>
          <w:sz w:val="22"/>
        </w:rPr>
        <w:t>이 글은 투자 권유가 아니다. 원시 데이터의 포함 범위와 거래정지를 직접 감사한 연구 기록이다.</w:t>
      </w:r>
    </w:p>
    <w:p>
      <w:pPr>
        <w:spacing w:after="160" w:line="320" w:lineRule="auto"/>
      </w:pPr>
      <w:r>
        <w:rPr>
          <w:rFonts w:ascii="Malgun Gothic" w:hAnsi="Malgun Gothic" w:eastAsia="Malgun Gothic"/>
          <w:sz w:val="22"/>
        </w:rPr>
        <w:t>이 글은 투자 권유가 아니다. 원시 데이터의 포함 범위와 거래정지를 직접 감사한 연구 기록이다.</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p>
      <w:pPr>
        <w:keepNext/>
        <w:spacing w:before="120" w:after="60"/>
        <w:jc w:val="center"/>
      </w:pPr>
      <w:r>
        <w:drawing>
          <wp:inline xmlns:a="http://schemas.openxmlformats.org/drawingml/2006/main" xmlns:pic="http://schemas.openxmlformats.org/drawingml/2006/picture">
            <wp:extent cx="5577840" cy="2417064"/>
            <wp:docPr id="6" name="Picture 6"/>
            <wp:cNvGraphicFramePr>
              <a:graphicFrameLocks noChangeAspect="1"/>
            </wp:cNvGraphicFramePr>
            <a:graphic>
              <a:graphicData uri="http://schemas.openxmlformats.org/drawingml/2006/picture">
                <pic:pic>
                  <pic:nvPicPr>
                    <pic:cNvPr id="0" name="06_book_excerpt_popularity.png"/>
                    <pic:cNvPicPr/>
                  </pic:nvPicPr>
                  <pic:blipFill>
                    <a:blip r:embed="rId13"/>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관심과 인기주의</w:t>
      </w: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4"/>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pStyle w:val="Heading2"/>
      </w:pPr>
      <w:r>
        <w:t>재현 자료</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원천 뉴스량별 IC 결과: https://github.com/Rowoon-Lee5/metric_studio_by_moon/blob/main/results/news_attention_raw_ic_summary.csv</w:t>
      </w:r>
    </w:p>
    <w:p>
      <w:pPr>
        <w:pStyle w:val="ListBullet"/>
        <w:spacing w:after="80"/>
      </w:pPr>
      <w:r>
        <w:rPr>
          <w:rFonts w:ascii="Malgun Gothic" w:hAnsi="Malgun Gothic" w:eastAsia="Malgun Gothic"/>
          <w:color w:val="373737"/>
          <w:sz w:val="19"/>
        </w:rPr>
        <w:t>원천 뉴스 재검증 보고서: https://github.com/Rowoon-Lee5/metric_studio_by_moon/blob/main/results/news_attention_raw_report.json</w:t>
      </w:r>
    </w:p>
    <w:p>
      <w:pPr>
        <w:pStyle w:val="ListBullet"/>
        <w:spacing w:after="80"/>
      </w:pPr>
      <w:r>
        <w:rPr>
          <w:rFonts w:ascii="Malgun Gothic" w:hAnsi="Malgun Gothic" w:eastAsia="Malgun Gothic"/>
          <w:color w:val="373737"/>
          <w:sz w:val="19"/>
        </w:rPr>
        <w:t>관심도 측정 타당성 감사: https://github.com/Rowoon-Lee5/metric_studio_by_moon/blob/main/results/closure_audits_report.json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p>
      <w:pPr>
        <w:keepNext/>
        <w:spacing w:before="120" w:after="60"/>
        <w:jc w:val="center"/>
      </w:pPr>
      <w:r>
        <w:drawing>
          <wp:inline xmlns:a="http://schemas.openxmlformats.org/drawingml/2006/main" xmlns:pic="http://schemas.openxmlformats.org/drawingml/2006/picture">
            <wp:extent cx="5577840" cy="2417064"/>
            <wp:docPr id="8" name="Picture 8"/>
            <wp:cNvGraphicFramePr>
              <a:graphicFrameLocks noChangeAspect="1"/>
            </wp:cNvGraphicFramePr>
            <a:graphic>
              <a:graphicData uri="http://schemas.openxmlformats.org/drawingml/2006/picture">
                <pic:pic>
                  <pic:nvPicPr>
                    <pic:cNvPr id="0" name="07_book_excerpt_strategy.png"/>
                    <pic:cNvPicPr/>
                  </pic:nvPicPr>
                  <pic:blipFill>
                    <a:blip r:embed="rId15"/>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패턴과 운용 전략</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9" name="Picture 9"/>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pStyle w:val="Heading2"/>
      </w:pPr>
      <w:r>
        <w:t>재현 자료</w:t>
      </w:r>
    </w:p>
    <w:p>
      <w:pPr>
        <w:pStyle w:val="ListBullet"/>
        <w:spacing w:after="80"/>
      </w:pPr>
      <w:r>
        <w:rPr>
          <w:rFonts w:ascii="Malgun Gothic" w:hAnsi="Malgun Gothic" w:eastAsia="Malgun Gothic"/>
          <w:color w:val="373737"/>
          <w:sz w:val="19"/>
        </w:rPr>
        <w:t>합의·실패 구조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 월별 수익률: https://github.com/Rowoon-Lee5/metric_studio_by_moon/blob/main/results/epistemic_stability_returns.csv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구성요소 벤치마크 결과: https://github.com/Rowoon-Lee5/metric_studio_by_moon/blob/main/results/consensus_benchmark_summary.csv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p>
      <w:pPr>
        <w:keepNext/>
        <w:spacing w:before="120" w:after="60"/>
        <w:jc w:val="center"/>
      </w:pPr>
      <w:r>
        <w:drawing>
          <wp:inline xmlns:a="http://schemas.openxmlformats.org/drawingml/2006/main" xmlns:pic="http://schemas.openxmlformats.org/drawingml/2006/picture">
            <wp:extent cx="5577840" cy="2417064"/>
            <wp:docPr id="10" name="Picture 10"/>
            <wp:cNvGraphicFramePr>
              <a:graphicFrameLocks noChangeAspect="1"/>
            </wp:cNvGraphicFramePr>
            <a:graphic>
              <a:graphicData uri="http://schemas.openxmlformats.org/drawingml/2006/picture">
                <pic:pic>
                  <pic:nvPicPr>
                    <pic:cNvPr id="0" name="08_book_excerpt_mixed_results.png"/>
                    <pic:cNvPicPr/>
                  </pic:nvPicPr>
                  <pic:blipFill>
                    <a:blip r:embed="rId17"/>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상반된 시장 관찰</w:t>
      </w: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11" name="Picture 11"/>
            <wp:cNvGraphicFramePr>
              <a:graphicFrameLocks noChangeAspect="1"/>
            </wp:cNvGraphicFramePr>
            <a:graphic>
              <a:graphicData uri="http://schemas.openxmlformats.org/drawingml/2006/picture">
                <pic:pic>
                  <pic:nvPicPr>
                    <pic:cNvPr id="0" name="05_model_failure_coherence.png"/>
                    <pic:cNvPicPr/>
                  </pic:nvPicPr>
                  <pic:blipFill>
                    <a:blip r:embed="rId18"/>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pStyle w:val="Heading2"/>
      </w:pPr>
      <w:r>
        <w:t>재현 자료</w:t>
      </w:r>
    </w:p>
    <w:p>
      <w:pPr>
        <w:pStyle w:val="ListBullet"/>
        <w:spacing w:after="80"/>
      </w:pPr>
      <w:r>
        <w:rPr>
          <w:rFonts w:ascii="Malgun Gothic" w:hAnsi="Malgun Gothic" w:eastAsia="Malgun Gothic"/>
          <w:color w:val="373737"/>
          <w:sz w:val="19"/>
        </w:rPr>
        <w:t>실패 공분산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상태별 결과: https://github.com/Rowoon-Lee5/metric_studio_by_moon/blob/main/results/model_failure_state_summary.csv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시간 분할 실패 상태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