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1. 알파는 조건이 바뀌어도 남는가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상위 70% 이후 기울기가 완만해지고, 80%와 90% 사이에서는 오히려 작은 흔들림이 보인다. 이 모양은 ‘유동성은 많을수록 좋다’도, ‘유동성 80%가 항상 최적이다’도 아닌 질문을 만든다. 수익률 곡선이 평평해지는 지점에서 늘어난 종목 수가 운용 가능성의 감소를 보상하는가.</w:t>
      </w:r>
    </w:p>
    <w:p>
      <w:pPr>
        <w:spacing w:after="160" w:line="320" w:lineRule="auto"/>
      </w:pPr>
      <w:r>
        <w:rPr>
          <w:rFonts w:ascii="Malgun Gothic" w:hAnsi="Malgun Gothic" w:eastAsia="Malgun Gothic"/>
          <w:sz w:val="22"/>
        </w:rPr>
        <w:t>내 실험의 수익률을 이 그림의 66.16%와 직접 비교하지는 않았다. 표본 기간, 신호의 정의, 종목 수, 리밸런싱, 비용 모형이 다르면 같은 ‘유동성 상위 80%’도 같은 포트폴리오가 아니다. 책의 숫자를 재현하지 못했다고 반박할 수도 없고, 비슷한 모양이 나왔다고 검증됐다고 말할 수도 없다. 이 글의 목적은 책의 한 숫자를 복사하는 일이 아니라, 그 숫자가 성립하려면 무엇이 고정돼 있어야 하는지 분해하는 일이다.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pStyle w:val="Heading3"/>
      </w:pPr>
      <w:r>
        <w:t>유동성을 어떻게 정의했는가</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spacing w:after="160" w:line="320" w:lineRule="auto"/>
      </w:pPr>
      <w:r>
        <w:rPr>
          <w:rFonts w:ascii="Malgun Gothic" w:hAnsi="Malgun Gothic" w:eastAsia="Malgun Gothic"/>
          <w:sz w:val="22"/>
        </w:rPr>
        <w:t>네 신호도 같은 역할을 하지 않는다. 1개월 반전은 직전 한 달 수익률이 낮은 종목을, 6개월 모멘텀은 최근 여섯 달 수익률이 높은 종목을 선택한다. 저변동성은 최근 12개월 월 수익률의 변동성이 낮은 종목을, 소형주는 시가총액이 작은 종목을 고른다. 이 네 가지는 ‘좋아 보이는 팩터 목록’이 아니라, 가격 반전·추세·위험·규모라는 서로 다른 설명이 유동성 제약 앞에서 어떤 방식으로 무너지는지 비교하기 위한 대조군이다.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w:t>
      </w:r>
    </w:p>
    <w:p>
      <w:pPr>
        <w:spacing w:after="160" w:line="320" w:lineRule="auto"/>
      </w:pPr>
      <w:r>
        <w:rPr>
          <w:rFonts w:ascii="Malgun Gothic" w:hAnsi="Malgun Gothic" w:eastAsia="Malgun Gothic"/>
          <w:sz w:val="22"/>
        </w:rPr>
        <w:t>종목 선택에는 형성 월 종가까지의 정보만 사용했고, 다음 달 수익률은 선택 뒤에만 붙였다. 그렇다고 이 한 문장으로 미래정보 문제가 사라지는 것은 아니다. 수정주가에는 액면분할·배당·상장폐지 같은 사후 사건의 조정이 들어갈 수 있다. 그래서 이후에 재진입 종목과 다음 가격이 비어 있는 종목을 따로 감사했다. 백테스트에서 ‘룩어헤드를 막았다’는 말은 코드 한 줄의 문제가 아니라, 원천 가격이 어떤 사건을 어떤 시점에 반영했는지까지 확인해야 성립한다.</w:t>
      </w: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Malgun Gothic" w:hAnsi="Malgun Gothic" w:eastAsia="Malgun Gothic"/>
          <w:sz w:val="22"/>
        </w:rPr>
        <w:t xml:space="preserve">표의 마지막 줄은 거래비용 전체를 0.5~2.0배로 바꿨다는 뜻이 아니다. 매수 또는 매도 한 번의 비용은 </w:t>
      </w:r>
      <w:r>
        <w:rPr>
          <w:rFonts w:ascii="Malgun Gothic" w:hAnsi="Malgun Gothic" w:eastAsia="Malgun Gothic"/>
          <w:b/>
          <w:sz w:val="22"/>
        </w:rPr>
        <w:t>기본 10bp + 시장충격</w:t>
      </w:r>
      <w:r>
        <w:rPr>
          <w:rFonts w:ascii="Malgun Gothic" w:hAnsi="Malgun Gothic" w:eastAsia="Malgun Gothic"/>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3904488"/>
            <wp:docPr id="2" name="Picture 2"/>
            <wp:cNvGraphicFramePr>
              <a:graphicFrameLocks noChangeAspect="1"/>
            </wp:cNvGraphicFramePr>
            <a:graphic>
              <a:graphicData uri="http://schemas.openxmlformats.org/drawingml/2006/picture">
                <pic:pic>
                  <pic:nvPicPr>
                    <pic:cNvPr id="0" name="01_robustness_map.png"/>
                    <pic:cNvPicPr/>
                  </pic:nvPicPr>
                  <pic:blipFill>
                    <a:blip r:embed="rId10"/>
                    <a:stretch>
                      <a:fillRect/>
                    </a:stretch>
                  </pic:blipFill>
                  <pic:spPr>
                    <a:xfrm>
                      <a:off x="0" y="0"/>
                      <a:ext cx="5577840" cy="3904488"/>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3021330"/>
            <wp:docPr id="3" name="Picture 3"/>
            <wp:cNvGraphicFramePr>
              <a:graphicFrameLocks noChangeAspect="1"/>
            </wp:cNvGraphicFramePr>
            <a:graphic>
              <a:graphicData uri="http://schemas.openxmlformats.org/drawingml/2006/picture">
                <pic:pic>
                  <pic:nvPicPr>
                    <pic:cNvPr id="0" name="11_participation_sensitivity.png"/>
                    <pic:cNvPicPr/>
                  </pic:nvPicPr>
                  <pic:blipFill>
                    <a:blip r:embed="rId11"/>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이 그림은 수익률을 보여 주는 표가 아니다. 각 칸은 유동성 비율과 시장충격 가정을 고정한 뒤, 남는 12개 조합을 세는 표다. 12개는 보유 종목 수 10·20·30·50개와 운용 규모 1억·10억·100억 원을 교차한 수다. 따라서 칸의 `5/12`는 종목이 5개라는 뜻도, 수익률이 5%라는 뜻도 아니다. 그 조건 아래 12개 전략 후보 중 네 기준을 모두 통과한 후보가 5개라는 뜻이다.</w:t>
      </w:r>
    </w:p>
    <w:p>
      <w:pPr>
        <w:spacing w:after="160" w:line="320" w:lineRule="auto"/>
      </w:pPr>
      <w:r>
        <w:rPr>
          <w:rFonts w:ascii="Malgun Gothic" w:hAnsi="Malgun Gothic" w:eastAsia="Malgun Gothic"/>
          <w:sz w:val="22"/>
        </w:rPr>
        <w:t>예를 들어 저변동성 패널의 ‘유동성 상위 70%·충격 1.0배’ 칸은 5/12다. 비용을 한 번 가정한 뒤 보유 종목 수와 운용 규모를 달리한 12개 후보 중 다섯 개가 양의 비용 차감 CAGR, t-통계량 1.96, MDD -60%, 평균 체결률 80%를 동시에 통과했다. 반대로 빈 칸은 0/12다. 어느 하나의 후보도 네 기준을 함께 통과하지 못했다는 뜻이다.</w:t>
      </w:r>
    </w:p>
    <w:p>
      <w:pPr>
        <w:spacing w:after="160" w:line="320" w:lineRule="auto"/>
      </w:pPr>
      <w:r>
        <w:rPr>
          <w:rFonts w:ascii="Malgun Gothic" w:hAnsi="Malgun Gothic" w:eastAsia="Malgun Gothic"/>
          <w:sz w:val="22"/>
        </w:rPr>
        <w:t>그래프에서 읽어야 할 것은 색의 진함이나 가장 큰 숫자가 아니다. 1개월 반전과 6개월 모멘텀은 모든 칸이 0/12다. 저변동성은 유동성 상위 60~90%에서만 통과 조합이 남고, 소형주는 상위 80~90%에서만 남는다. 즉 유동성 컷을 넓히면 모든 신호가 좋아지는 것이 아니라, 신호마다 실행 가능한 범위가 다르게 나타난다.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02_evidence_decision_boundary.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5" name="Picture 5"/>
            <wp:cNvGraphicFramePr>
              <a:graphicFrameLocks noChangeAspect="1"/>
            </wp:cNvGraphicFramePr>
            <a:graphic>
              <a:graphicData uri="http://schemas.openxmlformats.org/drawingml/2006/picture">
                <pic:pic>
                  <pic:nvPicPr>
                    <pic:cNvPr id="0" name="10_suspension_screened_smallcap.png"/>
                    <pic:cNvPicPr/>
                  </pic:nvPicPr>
                  <pic:blipFill>
                    <a:blip r:embed="rId13"/>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4.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손절매는 손실을 막는 규칙인가, 손실 경로를 바꾸는 규칙인가</w:t>
      </w:r>
    </w:p>
    <w:p>
      <w:pPr>
        <w:spacing w:after="160" w:line="320" w:lineRule="auto"/>
      </w:pPr>
      <w:r>
        <w:rPr>
          <w:rFonts w:ascii="Malgun Gothic" w:hAnsi="Malgun Gothic" w:eastAsia="Malgun Gothic"/>
          <w:sz w:val="22"/>
        </w:rPr>
        <w:t>손절매는 이 글의 유동성 문제와 멀어 보이지만, 실제로는 같은 질문에 닿아 있다. 손절은 가격이 내려가면 위험을 줄이는 규칙처럼 보인다. 그러나 저유동성 종목에서 손절 주문은 가장 거래하기 어려운 순간에 나간다. 손실을 줄였다고 기록한 백테스트가 실제로는 더 큰 가격 양보와 미체결을 숨길 수 있다. 그래서 손절을 ‘수익률을 높이는 보조 신호’로 바로 넣지 않고, 손실이 난 뒤 현금 비중과 회복 가능성이 어떻게 바뀌는지부터 확인했다.</w:t>
      </w:r>
    </w:p>
    <w:p>
      <w:pPr>
        <w:spacing w:after="160" w:line="320" w:lineRule="auto"/>
      </w:pPr>
      <w:r>
        <w:rPr>
          <w:rFonts w:ascii="Malgun Gothic" w:hAnsi="Malgun Gothic" w:eastAsia="Malgun Gothic"/>
          <w:sz w:val="22"/>
        </w:rPr>
        <w:t xml:space="preserve">현재 원천 데이터에는 일별 수정주가는 있지만 장중 고가·저가, 호가 스프레드, 실제 주문 체결 정보는 없다. 따라서 ‘-10%에 닿는 즉시 -10%에서 체결’되는 손절은 이 데이터로 검증할 수 없다. 그런 숫자는 손절 규칙이 아니라 체결가를 임의로 만든 결과가 된다. 이번에는 더 보수적으로, 월말에 선택한 소형주를 일별 종가로 추적하다가 손실 기준을 처음 넘긴 뒤 </w:t>
      </w:r>
      <w:r>
        <w:rPr>
          <w:rFonts w:ascii="Malgun Gothic" w:hAnsi="Malgun Gothic" w:eastAsia="Malgun Gothic"/>
          <w:b/>
          <w:sz w:val="22"/>
        </w:rPr>
        <w:t>다음 거래일 종가</w:t>
      </w:r>
      <w:r>
        <w:rPr>
          <w:rFonts w:ascii="Malgun Gothic" w:hAnsi="Malgun Gothic" w:eastAsia="Malgun Gothic"/>
          <w:sz w:val="22"/>
        </w:rPr>
        <w:t>에 청산하고, 다음 월 리밸런싱까지 현금으로 두는 규칙만 계산했다.</w:t>
      </w:r>
    </w:p>
    <w:p>
      <w:pPr>
        <w:spacing w:after="160" w:line="320" w:lineRule="auto"/>
      </w:pPr>
      <w:r>
        <w:rPr>
          <w:rFonts w:ascii="Malgun Gothic" w:hAnsi="Malgun Gothic" w:eastAsia="Malgun Gothic"/>
          <w:sz w:val="22"/>
        </w:rPr>
        <w:t>비교 대상은 앞에서 나온 비용 차감 포트폴리오 전체가 아니다. 선택된 소형주 보유 종목 중 형성일과 다음 형성일의 일별 수정주가가 모두 확인되는 15,464개 보유-월을 동일가중으로 비교한 조건부 표본이다. 체결 용량과 거래비용은 이 비교에서 고정하지 못했다. 이 실험은 ‘손절을 적용하면 실전 수익률이 얼마다’를 말하는 것이 아니라, 동일한 보유 종목 경로에서 손절 기준이 수익과 손실의 분포를 어떤 방향으로 바꾸는지 보는 오버레이다.</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7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규칙</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MDD</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t-통계량</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발생 비율</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뒤 월말 회복 비율</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손절 없음</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-10%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6.86</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35.4%</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41.9%</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-20%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6.50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16.3%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40.0%</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-30%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46.5%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-50.9%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7.8%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37.3%</w:t>
            </w:r>
          </w:p>
        </w:tc>
      </w:tr>
    </w:tbl>
    <w:p>
      <w:pPr>
        <w:spacing w:after="0"/>
      </w:pPr>
    </w:p>
    <w:p>
      <w:pPr>
        <w:keepNext/>
        <w:spacing w:before="120" w:after="60"/>
        <w:jc w:val="center"/>
      </w:pPr>
      <w:r>
        <w:drawing>
          <wp:inline xmlns:a="http://schemas.openxmlformats.org/drawingml/2006/main" xmlns:pic="http://schemas.openxmlformats.org/drawingml/2006/picture">
            <wp:extent cx="5577840" cy="3253740"/>
            <wp:docPr id="6" name="Picture 6"/>
            <wp:cNvGraphicFramePr>
              <a:graphicFrameLocks noChangeAspect="1"/>
            </wp:cNvGraphicFramePr>
            <a:graphic>
              <a:graphicData uri="http://schemas.openxmlformats.org/drawingml/2006/picture">
                <pic:pic>
                  <pic:nvPicPr>
                    <pic:cNvPr id="0" name="12_stop_loss_daily_close_audit.png"/>
                    <pic:cNvPicPr/>
                  </pic:nvPicPr>
                  <pic:blipFill>
                    <a:blip r:embed="rId14"/>
                    <a:stretch>
                      <a:fillRect/>
                    </a:stretch>
                  </pic:blipFill>
                  <pic:spPr>
                    <a:xfrm>
                      <a:off x="0" y="0"/>
                      <a:ext cx="5577840" cy="3253740"/>
                    </a:xfrm>
                    <a:prstGeom prst="rect"/>
                  </pic:spPr>
                </pic:pic>
              </a:graphicData>
            </a:graphic>
          </wp:inline>
        </w:drawing>
      </w:r>
    </w:p>
    <w:p>
      <w:pPr>
        <w:pStyle w:val="FigureCaption"/>
        <w:jc w:val="center"/>
      </w:pPr>
      <w:r>
        <w:rPr>
          <w:rFonts w:ascii="Malgun Gothic" w:hAnsi="Malgun Gothic" w:eastAsia="Malgun Gothic"/>
          <w:color w:val="595959"/>
          <w:sz w:val="18"/>
        </w:rPr>
        <w:t>그림 5. 일별 종가 손절 규칙의 조건부 표본 비교</w:t>
      </w:r>
    </w:p>
    <w:p>
      <w:pPr>
        <w:spacing w:after="160" w:line="320" w:lineRule="auto"/>
      </w:pPr>
      <w:r>
        <w:rPr>
          <w:rFonts w:ascii="Malgun Gothic" w:hAnsi="Malgun Gothic" w:eastAsia="Malgun Gothic"/>
          <w:sz w:val="22"/>
        </w:rPr>
        <w:t>-10% 규칙은 최대낙폭을 7.6%p 낮췄다. 하지만 이 결과를 ‘-10%가 최적 손절선’이라고 읽으면 안 된다. 손절이 발생한 보유-월은 35.4%였고, 그중 41.9%는 월말까지 계속 보유했을 때 손절 청산가보다 높은 가격으로 끝났다. 손절은 상당수의 반등을 포기하는 대신, 큰 낙폭 구간에서 현금으로 이동한 규칙이다.</w:t>
      </w:r>
    </w:p>
    <w:p>
      <w:pPr>
        <w:spacing w:after="160" w:line="320" w:lineRule="auto"/>
      </w:pPr>
      <w:r>
        <w:rPr>
          <w:rFonts w:ascii="Malgun Gothic" w:hAnsi="Malgun Gothic" w:eastAsia="Malgun Gothic"/>
          <w:sz w:val="22"/>
        </w:rPr>
        <w:t>-20%는 CAGR이 47.9%로 가장 높게 보이지만 MDD는 손절 없음과 거의 같다. -30%는 CAGR과 MDD가 모두 나빠졌다. 기준을 느슨하게 만들수록 손절 횟수는 줄지만 보호 효과도 사라진다. 기준을 엄격하게 만들수록 MDD는 줄어들 수 있지만, 반등 종목을 더 많이 놓친다. 이 결과에는 단조롭게 좋은 손절선이 없었다.</w:t>
      </w:r>
    </w:p>
    <w:p>
      <w:pPr>
        <w:spacing w:after="160" w:line="320" w:lineRule="auto"/>
      </w:pPr>
      <w:r>
        <w:rPr>
          <w:rFonts w:ascii="Malgun Gothic" w:hAnsi="Malgun Gothic" w:eastAsia="Malgun Gothic"/>
          <w:sz w:val="22"/>
        </w:rPr>
        <w:t>여기서 더 중요한 숫자는 41.9%다. 손절된 종목 열 개 중 네 개 이상이 그 달 말에는 손절 청산가보다 높았다. 이 비율은 손절이 틀렸다는 뜻이 아니다. 손절은 개별 종목의 방향을 맞히는 규칙이 아니라, 포트폴리오가 감당할 수 없는 손실 경로를 잘라내는 규칙이라는 뜻이다. 따라서 손절의 평가는 평균 수익률 하나가 아니라 MDD, 손절 빈도, 반등 포기, 현금 체류기간을 함께 놓고 해야 한다.</w:t>
      </w:r>
    </w:p>
    <w:p>
      <w:pPr>
        <w:spacing w:after="160" w:line="320" w:lineRule="auto"/>
      </w:pPr>
      <w:r>
        <w:rPr>
          <w:rFonts w:ascii="Malgun Gothic" w:hAnsi="Malgun Gothic" w:eastAsia="Malgun Gothic"/>
          <w:sz w:val="22"/>
        </w:rPr>
        <w:t>손절 연구에는 이 글의 다른 한계보다 더 엄격한 경계가 있다. 일별 종가 기준의 다음 거래일 청산은 장중 손절 주문과 다르다. 갭 하락, 하한가, 거래정지, 호가 스프레드가 큰 날에는 실제 청산이 더 늦거나 더 불리할 수 있다. 종료사건의 현금 결제값도 이 조건부 표본에서는 해결되지 않는다. 그래서 이 결과는 ‘손절매를 쓰라’는 추천이 아니라, 소형주 전략의 손실을 통제하는 방법을 논할 때 어떤 데이터를 추가해야 하는지 보여 주는 첫 번째 반증이다.</w:t>
      </w:r>
    </w:p>
    <w:p>
      <w:pPr>
        <w:pStyle w:val="Heading2"/>
      </w:pPr>
      <w:r>
        <w:t>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참여율 민감도 실험: https://github.com/Rowoon-Lee5/metric_studio_by_moon/blob/main/experiments/participation_sensitivity.py</w:t>
      </w:r>
    </w:p>
    <w:p>
      <w:pPr>
        <w:pStyle w:val="ListBullet"/>
        <w:spacing w:after="80"/>
      </w:pPr>
      <w:r>
        <w:rPr>
          <w:rFonts w:ascii="Malgun Gothic" w:hAnsi="Malgun Gothic" w:eastAsia="Malgun Gothic"/>
          <w:color w:val="373737"/>
          <w:sz w:val="19"/>
        </w:rPr>
        <w:t>일별 종가 손절 감사: https://github.com/Rowoon-Lee5/metric_studio_by_moon/blob/main/experiments/stop_loss_daily_close_audit.py</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