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상위 70% 이후 기울기가 완만해지고, 80%와 90% 사이에서는 오히려 작은 흔들림이 보인다. 이 모양은 ‘유동성은 많을수록 좋다’도, ‘유동성 80%가 항상 최적이다’도 아닌 질문을 만든다. 수익률 곡선이 평평해지는 지점에서 늘어난 종목 수가 운용 가능성의 감소를 보상하는가.</w:t>
      </w:r>
    </w:p>
    <w:p>
      <w:pPr>
        <w:spacing w:after="160" w:line="320" w:lineRule="auto"/>
      </w:pPr>
      <w:r>
        <w:rPr>
          <w:rFonts w:ascii="Malgun Gothic" w:hAnsi="Malgun Gothic" w:eastAsia="Malgun Gothic"/>
          <w:sz w:val="22"/>
        </w:rPr>
        <w:t>내 실험의 수익률을 이 그림의 66.16%와 직접 비교하지는 않았다. 표본 기간, 신호의 정의, 종목 수, 리밸런싱, 비용 모형이 다르면 같은 ‘유동성 상위 80%’도 같은 포트폴리오가 아니다. 책의 숫자를 재현하지 못했다고 반박할 수도 없고, 비슷한 모양이 나왔다고 검증됐다고 말할 수도 없다. 이 글의 목적은 책의 한 숫자를 복사하는 일이 아니라, 그 숫자가 성립하려면 무엇이 고정돼 있어야 하는지 분해하는 일이다.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pStyle w:val="Heading3"/>
      </w:pPr>
      <w:r>
        <w:t>유동성을 어떻게 정의했는가</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spacing w:after="160" w:line="320" w:lineRule="auto"/>
      </w:pPr>
      <w:r>
        <w:rPr>
          <w:rFonts w:ascii="Malgun Gothic" w:hAnsi="Malgun Gothic" w:eastAsia="Malgun Gothic"/>
          <w:sz w:val="22"/>
        </w:rPr>
        <w:t>네 신호도 같은 역할을 하지 않는다. 1개월 반전은 직전 한 달 수익률이 낮은 종목을, 6개월 모멘텀은 최근 여섯 달 수익률이 높은 종목을 선택한다. 저변동성은 최근 12개월 월 수익률의 변동성이 낮은 종목을, 소형주는 시가총액이 작은 종목을 고른다. 이 네 가지는 ‘좋아 보이는 팩터 목록’이 아니라, 가격 반전·추세·위험·규모라는 서로 다른 설명이 유동성 제약 앞에서 어떤 방식으로 무너지는지 비교하기 위한 대조군이다.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w:t>
      </w:r>
    </w:p>
    <w:p>
      <w:pPr>
        <w:spacing w:after="160" w:line="320" w:lineRule="auto"/>
      </w:pPr>
      <w:r>
        <w:rPr>
          <w:rFonts w:ascii="Malgun Gothic" w:hAnsi="Malgun Gothic" w:eastAsia="Malgun Gothic"/>
          <w:sz w:val="22"/>
        </w:rPr>
        <w:t>종목 선택에는 형성 월 종가까지의 정보만 사용했고, 다음 달 수익률은 선택 뒤에만 붙였다. 그렇다고 이 한 문장으로 미래정보 문제가 사라지는 것은 아니다. 수정주가에는 액면분할·배당·상장폐지 같은 사후 사건의 조정이 들어갈 수 있다. 그래서 이후에 재진입 종목과 다음 가격이 비어 있는 종목을 따로 감사했다. 백테스트에서 ‘룩어헤드를 막았다’는 말은 코드 한 줄의 문제가 아니라, 원천 가격이 어떤 사건을 어떤 시점에 반영했는지까지 확인해야 성립한다.</w:t>
      </w: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904488"/>
            <wp:docPr id="2" name="Picture 2"/>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904488"/>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021330"/>
            <wp:docPr id="3" name="Picture 3"/>
            <wp:cNvGraphicFramePr>
              <a:graphicFrameLocks noChangeAspect="1"/>
            </wp:cNvGraphicFramePr>
            <a:graphic>
              <a:graphicData uri="http://schemas.openxmlformats.org/drawingml/2006/picture">
                <pic:pic>
                  <pic:nvPicPr>
                    <pic:cNvPr id="0" name="11_participation_sensitivity.png"/>
                    <pic:cNvPicPr/>
                  </pic:nvPicPr>
                  <pic:blipFill>
                    <a:blip r:embed="rId11"/>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Malgun Gothic" w:hAnsi="Malgun Gothic" w:eastAsia="Malgun Gothic"/>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Malgun Gothic" w:hAnsi="Malgun Gothic" w:eastAsia="Malgun Gothic"/>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keepNext/>
        <w:spacing w:before="120" w:after="60"/>
        <w:jc w:val="center"/>
      </w:pPr>
      <w:r>
        <w:drawing>
          <wp:inline xmlns:a="http://schemas.openxmlformats.org/drawingml/2006/main" xmlns:pic="http://schemas.openxmlformats.org/drawingml/2006/picture">
            <wp:extent cx="5577840" cy="3253740"/>
            <wp:docPr id="6" name="Picture 6"/>
            <wp:cNvGraphicFramePr>
              <a:graphicFrameLocks noChangeAspect="1"/>
            </wp:cNvGraphicFramePr>
            <a:graphic>
              <a:graphicData uri="http://schemas.openxmlformats.org/drawingml/2006/picture">
                <pic:pic>
                  <pic:nvPicPr>
                    <pic:cNvPr id="0" name="12_stop_loss_daily_close_audit.png"/>
                    <pic:cNvPicPr/>
                  </pic:nvPicPr>
                  <pic:blipFill>
                    <a:blip r:embed="rId14"/>
                    <a:stretch>
                      <a:fillRect/>
                    </a:stretch>
                  </pic:blipFill>
                  <pic:spPr>
                    <a:xfrm>
                      <a:off x="0" y="0"/>
                      <a:ext cx="5577840" cy="3253740"/>
                    </a:xfrm>
                    <a:prstGeom prst="rect"/>
                  </pic:spPr>
                </pic:pic>
              </a:graphicData>
            </a:graphic>
          </wp:inline>
        </w:drawing>
      </w:r>
    </w:p>
    <w:p>
      <w:pPr>
        <w:pStyle w:val="FigureCaption"/>
        <w:jc w:val="center"/>
      </w:pPr>
      <w:r>
        <w:rPr>
          <w:rFonts w:ascii="Malgun Gothic" w:hAnsi="Malgun Gothic" w:eastAsia="Malgun Gothic"/>
          <w:color w:val="595959"/>
          <w:sz w:val="18"/>
        </w:rPr>
        <w:t>그림 5. 일별 종가 손절 규칙의 조건부 표본 비교</w:t>
      </w: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7" name="Picture 7"/>
            <wp:cNvGraphicFramePr>
              <a:graphicFrameLocks noChangeAspect="1"/>
            </wp:cNvGraphicFramePr>
            <a:graphic>
              <a:graphicData uri="http://schemas.openxmlformats.org/drawingml/2006/picture">
                <pic:pic>
                  <pic:nvPicPr>
                    <pic:cNvPr id="0" name="03_observed_news_attention.png"/>
                    <pic:cNvPicPr/>
                  </pic:nvPicPr>
                  <pic:blipFill>
                    <a:blip r:embed="rId15"/>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이 구분은 투자 판단에도 직접 연결된다. 뉴스가 많고 개인 순매수가 늘며 호가가 얇아진 종목은 기대가 한쪽으로 쏠린 상황일 수 있다. 반대로 뉴스는 없는데 회전율만 높은 종목은 기관의 기계적 주문이나 큰 주주의 거래일 수 있다. 표면적으로는 둘 다 ‘활발한 종목’이지만, 다음 달 수익률을 해석할 때 필요한 질문은 전혀 다르다. 전자에서는 정보가 이미 가격에 반영됐는지, 후자에서는 주문 충격이 언제 사라지는지를 봐야 한다.</w:t>
      </w:r>
    </w:p>
    <w:p>
      <w:pPr>
        <w:spacing w:after="160" w:line="320" w:lineRule="auto"/>
      </w:pPr>
      <w:r>
        <w:rPr>
          <w:rFonts w:ascii="Malgun Gothic" w:hAnsi="Malgun Gothic" w:eastAsia="Malgun Gothic"/>
          <w:sz w:val="22"/>
        </w:rPr>
        <w:t>여기서부터 관심도는 하나의 팩터가 아니라 측정 설계의 문제가 된다. 어떤 변수를 쓰는가에 따라 관심주의 표본이 달라지고, 표본이 달라지면 인기주의 성과도 달라진다. 나는 2편에서 인기주 효과를 발견했다고 주장하지 않는다. 오히려 같은 이름 아래 묶여 있던 종목들을 분리하지 않은 채 효과를 말했던 이전 방식이 얼마나 약했는지를 확인했다. 이후에 검색량, 투자자별 순매수, 호가 스프레드를 받게 되더라도 먼저 확인할 것은 예측력이 아니라 이 변수들이 서로 같은 현상을 보고 있는지다.</w:t>
      </w:r>
    </w:p>
    <w:p>
      <w:pPr>
        <w:spacing w:after="160" w:line="320" w:lineRule="auto"/>
      </w:pPr>
      <w:r>
        <w:rPr>
          <w:rFonts w:ascii="Malgun Gothic" w:hAnsi="Malgun Gothic" w:eastAsia="Malgun Gothic"/>
          <w:sz w:val="22"/>
        </w:rPr>
        <w:t>책에서 말하는 인기주의 예후도 이 관점에서 다시 읽게 됐다. 인기주가 장기적으로 상대적으로 약했다는 관찰은, 사람이 많이 본 종목을 기계적으로 피하라는 규칙이 아니다. 기대가 이미 가격에 반영된 상태인지, 사람들이 그 종목을 좋아하지만 실제 매수 여력이 남아 있는지, 유행이 끝났을 때 누가 마지막 보유자가 되는지를 묻는 문제다. 관심이 과도한 기대를 뜻할 때와, 새 정보가 유입되는 속도를 뜻할 때의 가격 효과는 반대일 수도 있다.</w:t>
      </w:r>
    </w:p>
    <w:p>
      <w:pPr>
        <w:spacing w:after="160" w:line="320" w:lineRule="auto"/>
      </w:pPr>
      <w:r>
        <w:rPr>
          <w:rFonts w:ascii="Malgun Gothic" w:hAnsi="Malgun Gothic" w:eastAsia="Malgun Gothic"/>
          <w:sz w:val="22"/>
        </w:rPr>
        <w:t>나는 이전에는 회전율 상위 그룹의 성과가 약하면 곧바로 ‘관심이 과열됐다’고 설명하고 싶었다. 그러나 회전율이 높은 달에 뉴스가 많았는지, 뉴스가 특정 산업에 집중됐는지, 기관과 개인 중 누가 거래했는지 확인하지 않으면 그 설명은 사후 서사에 가깝다. 똑같이 회전율이 높은 두 종목이 있어도, 하나는 호재 공시 직후 기관의 편입 수요일 수 있고 다른 하나는 악재 뒤 손절 물량일 수 있다. 두 경우를 관심이라는 한 단어로 묶은 순간, 수익률 차이는 설명되지 않는다.</w:t>
      </w:r>
    </w:p>
    <w:p>
      <w:pPr>
        <w:spacing w:after="160" w:line="320" w:lineRule="auto"/>
      </w:pPr>
      <w:r>
        <w:rPr>
          <w:rFonts w:ascii="Malgun Gothic" w:hAnsi="Malgun Gothic" w:eastAsia="Malgun Gothic"/>
          <w:sz w:val="22"/>
        </w:rPr>
        <w:t>원천 뉴스 패널을 다시 연결하면서 데이터의 빈칸도 더 선명해졌다. 뉴스가 없는 달은 실제로 아무 정보도 없었던 달이 아니라, 내가 수집한 원천에서 해당 종목의 헤드라인을 관측하지 못한 달일 수 있다. 뉴스량은 기사 내용의 긍정·부정을 구분하지 않고, 조회 수나 검색량도 알지 못한다. 그래서 2편의 결과는 관심을 측정했다는 선언이 아니라, 기존 회전율 해석이 얼마나 많은 관측 불가능한 요소를 품고 있었는지 밝힌 기록이다.</w:t>
      </w:r>
    </w:p>
    <w:p>
      <w:pPr>
        <w:spacing w:after="160" w:line="320" w:lineRule="auto"/>
      </w:pPr>
      <w:r>
        <w:rPr>
          <w:rFonts w:ascii="Malgun Gothic" w:hAnsi="Malgun Gothic" w:eastAsia="Malgun Gothic"/>
          <w:sz w:val="22"/>
        </w:rPr>
        <w:t>이 차이를 인정하면 다음 데이터 요구도 달라진다. 검색량을 붙이는 일은 단순히 변수를 하나 더 추가하는 일이 아니다. 검색량은 개인의 주목을, 투자자별 수급은 주문 주체를, 호가 불균형과 스프레드는 실제 거래 환경을 다르게 관측한다. 이 네 가지가 모두 같은 날 높아지는 경우와, 하나만 움직이는 경우를 분리해야만 관심이 가격에 남기는 효과를 질문할 수 있다. 2편에서 끝내지 않은 이유도 여기에 있다. 내가 버린 것은 하나의 변수보다, 관측하지 못한 것을 너무 쉽게 이름 붙이던 습관이다.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8" name="Picture 8"/>
            <wp:cNvGraphicFramePr>
              <a:graphicFrameLocks noChangeAspect="1"/>
            </wp:cNvGraphicFramePr>
            <a:graphic>
              <a:graphicData uri="http://schemas.openxmlformats.org/drawingml/2006/picture">
                <pic:pic>
                  <pic:nvPicPr>
                    <pic:cNvPr id="0" name="04_model_consensus_cumulative.png"/>
                    <pic:cNvPicPr/>
                  </pic:nvPicPr>
                  <pic:blipFill>
                    <a:blip r:embed="rId16"/>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spacing w:after="160" w:line="320" w:lineRule="auto"/>
      </w:pPr>
      <w:r>
        <w:rPr>
          <w:rFonts w:ascii="Malgun Gothic" w:hAnsi="Malgun Gothic" w:eastAsia="Malgun Gothic"/>
          <w:sz w:val="22"/>
        </w:rPr>
        <w:t>합의 포트폴리오를 만들 때는 이 중복이 특히 심해진다. 나는 반전·모멘텀·저변동성·소형주 신호에 유동성 기준과 보유 종목 수를 달리 적용한 모델들의 선택 횟수를 셌다. 겉으로는 많은 모델이 투표한 것처럼 보이지만, 한 신호의 기간이나 종목 수만 바꾼 모델들도 같은 종목에 표를 던질 수 있다. 이 표는 독립적인 연구자들의 판단이 아니라, 하나의 가격 패널에서 만들어진 유사한 규칙들의 반복일 수 있다.</w:t>
      </w:r>
    </w:p>
    <w:p>
      <w:pPr>
        <w:spacing w:after="160" w:line="320" w:lineRule="auto"/>
      </w:pPr>
      <w:r>
        <w:rPr>
          <w:rFonts w:ascii="Malgun Gothic" w:hAnsi="Malgun Gothic" w:eastAsia="Malgun Gothic"/>
          <w:sz w:val="22"/>
        </w:rPr>
        <w:t>그래서 평균 13.8표를 받은 상위 30종목이라는 숫자는 처음에는 강한 확신처럼 보였지만, 지금은 다른 뜻으로 읽힌다. 많은 모델이 동의했다는 사실은 그 종목이 여러 위험을 통과했다는 뜻이 아니라, 내가 만든 모델 집합이 같은 특성을 반복적으로 선호했다는 뜻일 수 있다. 합의가 높은 종목만 남기는 순간 포트폴리오는 넓어지는 것이 아니라 오히려 더 좁아진다. 여러 모델의 평균이 남기는 분산 효과를 버리고, 공통된 선호를 가장 강하게 보유하게 되는 것이다.</w:t>
      </w:r>
    </w:p>
    <w:p>
      <w:pPr>
        <w:spacing w:after="160" w:line="320" w:lineRule="auto"/>
      </w:pPr>
      <w:r>
        <w:rPr>
          <w:rFonts w:ascii="Malgun Gothic" w:hAnsi="Malgun Gothic" w:eastAsia="Malgun Gothic"/>
          <w:sz w:val="22"/>
        </w:rPr>
        <w:t>이 실험에서 구성요소 전략 평균의 CAGR이 양수였는데 합의 포트폴리오가 음수였다는 결과가 중요한 이유도 여기에 있다. 모델을 조합하는 방법은 하나가 아니다. 같은 48개 전략을 평균내는 일과, 모두가 고른 종목만 압축하는 일은 전혀 다른 포트폴리오를 만든다. 전자는 개별 오류를 희석할 수 있지만, 후자는 공통 오류를 증폭할 수 있다. ‘앙상블’이라는 이름으로 두 작업을 같은 것으로 부르면, 왜 결과가 달라졌는지 보이지 않는다.</w:t>
      </w:r>
    </w:p>
    <w:p>
      <w:pPr>
        <w:spacing w:after="160" w:line="320" w:lineRule="auto"/>
      </w:pPr>
      <w:r>
        <w:rPr>
          <w:rFonts w:ascii="Malgun Gothic" w:hAnsi="Malgun Gothic" w:eastAsia="Malgun Gothic"/>
          <w:sz w:val="22"/>
        </w:rPr>
        <w:t>앞으로 재무·뉴스·공시 데이터를 붙이더라도 단순히 표를 합산하지 않을 것이다. 먼저 각 데이터가 그 시점에 실제로 이용 가능했는지 확인하고, 그 신호가 가격 신호와 같은 종목을 고르는지, 같은 달에 실패하는지, 손실 구간에서 어떤 역할을 하는지 비교해야 한다. 신호의 수보다 중요한 것은 독립적인 오류의 수다. 나는 다음 모델에서 더 높은 합의 점수를 찾는 대신, 어떤 합의가 중복이고 어떤 합의가 새로운 증거인지 구분하는 기준부터 만들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9" name="Picture 9"/>
            <wp:cNvGraphicFramePr>
              <a:graphicFrameLocks noChangeAspect="1"/>
            </wp:cNvGraphicFramePr>
            <a:graphic>
              <a:graphicData uri="http://schemas.openxmlformats.org/drawingml/2006/picture">
                <pic:pic>
                  <pic:nvPicPr>
                    <pic:cNvPr id="0" name="05_model_failure_coherence.png"/>
                    <pic:cNvPicPr/>
                  </pic:nvPicPr>
                  <pic:blipFill>
                    <a:blip r:embed="rId17"/>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이 시도는 시장을 정규분포의 평균과 분산으로만 요약하는 방식에도 거리를 둔다. 평균수익률과 변동성은 필요하지만, 극단적인 손실이 어느 신호에서 동시에 나타났는지는 따로 알려 주지 않는다. 같은 표준편차의 움직임이라도 하나의 전략만 흔들린 달과 네 전략이 함께 기대를 배반한 달은 운용자가 마주하는 위험이 다르다. 그래서 나는 시장 상태를 수익률의 크기만으로 부르지 않고, 모델 실패의 동시성으로도 기록해 보려 한다.</w:t>
      </w:r>
    </w:p>
    <w:p>
      <w:pPr>
        <w:spacing w:after="160" w:line="320" w:lineRule="auto"/>
      </w:pPr>
      <w:r>
        <w:rPr>
          <w:rFonts w:ascii="Malgun Gothic" w:hAnsi="Malgun Gothic" w:eastAsia="Malgun Gothic"/>
          <w:sz w:val="22"/>
        </w:rPr>
        <w:t>다만 실패 개수가 높을 때 현금을 늘리거나 포지션을 줄이는 규칙을 지금 만들지는 않는다. 관측 수가 적은 상태에서 규칙을 만들면, 위기 이후의 몇 달을 정확히 설명하는 대신 다음 위기에서는 전혀 다른 방식으로 실패할 수 있다. 이 글에서 남긴 수치는 ‘공동 실패가 위험하다’는 매매 명령이 아니라, 다음 검증에서 버려지거나 살아남을 수 있는 가설이다.</w:t>
      </w:r>
    </w:p>
    <w:p>
      <w:pPr>
        <w:spacing w:after="160" w:line="320" w:lineRule="auto"/>
      </w:pPr>
      <w:r>
        <w:rPr>
          <w:rFonts w:ascii="Malgun Gothic" w:hAnsi="Malgun Gothic" w:eastAsia="Malgun Gothic"/>
          <w:sz w:val="22"/>
        </w:rPr>
        <w:t>내가 더 궁금한 것은 공동 실패의 원인이다. 뉴스가 한 종목군에 집중된 날인지, 특정 공시가 시장 전체의 기대를 바꾼 날인지, 호가 스프레드가 넓어져 어떤 모델도 원래 가격에 거래할 수 없던 날인지에 따라 대응은 달라진다. 가격 신호만으로 만든 실패 지표는 원인을 말해 주지 않는다. 그래서 이 글의 다음 단계는 더 복잡한 예측 모델이 아니라, 실패한 달의 정보 환경을 복원하는 작업이다.</w:t>
      </w:r>
    </w:p>
    <w:p>
      <w:pPr>
        <w:spacing w:after="160" w:line="320" w:lineRule="auto"/>
      </w:pPr>
      <w:r>
        <w:rPr>
          <w:rFonts w:ascii="Malgun Gothic" w:hAnsi="Malgun Gothic" w:eastAsia="Malgun Gothic"/>
          <w:sz w:val="22"/>
        </w:rPr>
        <w:t>여기서 한 가지 더 조심할 점은 ‘한 표준편차 아래’를 정규분포의 확률처럼 해석하지 않는 것이다. 주식 수익률의 상승과 하락은 좌우 대칭이 아니고, 극단적인 손실은 평균과 분산만으로 충분히 설명되지 않는다. 내가 사용한 36개월 기준은 실패를 동일한 단위로 표시하기 위한 내부 기준일 뿐, 시장수익률이 정규분포를 따른다는 가정이 아니다. 이 구분을 하지 않으면 실패 상태라는 지표도 다시 익숙한 통계 언어로 시장의 비대칭성을 지워 버릴 수 있다.</w:t>
      </w:r>
    </w:p>
    <w:p>
      <w:pPr>
        <w:spacing w:after="160" w:line="320" w:lineRule="auto"/>
      </w:pPr>
      <w:r>
        <w:rPr>
          <w:rFonts w:ascii="Malgun Gothic" w:hAnsi="Malgun Gothic" w:eastAsia="Malgun Gothic"/>
          <w:sz w:val="22"/>
        </w:rPr>
        <w:t>책이 모멘텀과 반전에서 상반된 결과를 함께 보여 준 이유는 한 전략이 거짓이라는 뜻이 아니다. 같은 전략도 시장·기간·운용 방식이 달라지면 다른 보상을 받을 수 있다는 뜻이다. 나는 이 사실을 ‘한국에서는 모멘텀이 안 된다’는 결론으로 줄이고 싶었다. 하지만 내 데이터에서 약했던 모멘텀이 다른 기간에도 약한지, 비용을 넣은 뒤에도 약한지, 소형주와 대형주에서 같은지 확인하지 않은 결론은 시장의 법칙이 아니라 내 백테스트의 메모일 뿐이다.</w:t>
      </w:r>
    </w:p>
    <w:p>
      <w:pPr>
        <w:spacing w:after="160" w:line="320" w:lineRule="auto"/>
      </w:pPr>
      <w:r>
        <w:rPr>
          <w:rFonts w:ascii="Malgun Gothic" w:hAnsi="Malgun Gothic" w:eastAsia="Malgun Gothic"/>
          <w:sz w:val="22"/>
        </w:rPr>
        <w:t>공동 실패를 기록하는 방식은 이 성급한 일반화를 피하려는 시도다. 모멘텀이 이기는 달과 반전이 이기는 달을 미리 구분하지 않아도 된다. 대신 네 신호가 각자의 예상에서 얼마나 벗어났는지 보고, 같은 달에 설명력이 무너졌는지를 기록한다. 이 지표가 다음 달 시장수익률과 관계를 보인다면, 그것은 ‘어느 팩터를 사야 하는가’보다 앞선 질문, 즉 ‘현재 내가 의존하는 설명들이 동시에 취약해졌는가’를 다룰 수 있게 한다.</w:t>
      </w:r>
    </w:p>
    <w:p>
      <w:pPr>
        <w:spacing w:after="160" w:line="320" w:lineRule="auto"/>
      </w:pPr>
      <w:r>
        <w:rPr>
          <w:rFonts w:ascii="Malgun Gothic" w:hAnsi="Malgun Gothic" w:eastAsia="Malgun Gothic"/>
          <w:sz w:val="22"/>
        </w:rPr>
        <w:t>물론 이 접근도 새로운 과적합이 될 수 있다. 실패 기준을 36개월과 한 표준편차로 정한 것 역시 선택이고, 관측 수가 적은 극단 상태의 평균은 쉽게 흔들린다. 그래서 나는 상태 수를 더 잘게 쪼개거나 임계값을 계속 바꿔 가장 예쁜 그래프를 찾지 않았다. 시간 분할에서 방향이 유지되는지까지만 확인했고, 이후 검증은 다른 시장과 다른 정보원으로 넘겼다. 이 글의 가치는 위기 예측기를 만들었다는 데 있지 않다. 시장 국면을 가격의 결과가 아니라 모델의 실패 구조로 읽을 수 있다는, 검증 가능한 질문을 만든 데 있다.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