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봉우리인가, 대륙인가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p>
      <w:pPr>
        <w:keepNext/>
        <w:spacing w:before="120" w:after="60"/>
        <w:jc w:val="center"/>
      </w:pPr>
      <w:r>
        <w:drawing>
          <wp:inline xmlns:a="http://schemas.openxmlformats.org/drawingml/2006/main" xmlns:pic="http://schemas.openxmlformats.org/drawingml/2006/picture">
            <wp:extent cx="5577840" cy="2417064"/>
            <wp:docPr id="2" name="Picture 2"/>
            <wp:cNvGraphicFramePr>
              <a:graphicFrameLocks noChangeAspect="1"/>
            </wp:cNvGraphicFramePr>
            <a:graphic>
              <a:graphicData uri="http://schemas.openxmlformats.org/drawingml/2006/picture">
                <pic:pic>
                  <pic:nvPicPr>
                    <pic:cNvPr id="0" name="09_book_excerpt_liquid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유동성 유니버스와 슬리피지</w:t>
      </w: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계수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0.5 · 1.0 · 1.5 · 2.0배</w:t>
            </w:r>
          </w:p>
        </w:tc>
      </w:tr>
    </w:tbl>
    <w:p>
      <w:pPr>
        <w:spacing w:after="0"/>
      </w:pPr>
    </w:p>
    <w:p>
      <w:pPr>
        <w:spacing w:after="160" w:line="320" w:lineRule="auto"/>
      </w:pPr>
      <w:r>
        <w:rPr>
          <w:rFonts w:ascii="Malgun Gothic" w:hAnsi="Malgun Gothic" w:eastAsia="Malgun Gothic"/>
          <w:sz w:val="22"/>
        </w:rPr>
        <w:t>편도 비용은 기본 10bp에 주문금액이 해당 종목의 거래대금에서 차지하는 비중의 제곱근에 비례한 시장충격을 더해 계산했다. 표의 0.5~2.0배는 이 시장충격 부분에만 적용한 계수다. 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spacing w:after="160" w:line="320" w:lineRule="auto"/>
      </w:pPr>
      <w:r>
        <w:rPr>
          <w:rFonts w:ascii="Malgun Gothic" w:hAnsi="Malgun Gothic" w:eastAsia="Malgun Gothic"/>
          <w:sz w:val="22"/>
        </w:rPr>
        <w:t>## 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 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spacing w:after="160" w:line="320" w:lineRule="auto"/>
      </w:pPr>
      <w:r>
        <w:rPr>
          <w:rFonts w:ascii="Malgun Gothic" w:hAnsi="Malgun Gothic" w:eastAsia="Malgun Gothic"/>
          <w:sz w:val="22"/>
        </w:rPr>
        <w:t>### GitHub에서 확인할 수 있는 것</w:t>
      </w:r>
    </w:p>
    <w:p>
      <w:pPr>
        <w:spacing w:after="160" w:line="320" w:lineRule="auto"/>
      </w:pPr>
      <w:r>
        <w:rPr>
          <w:rFonts w:ascii="Malgun Gothic" w:hAnsi="Malgun Gothic" w:eastAsia="Malgun Gothic"/>
          <w:sz w:val="22"/>
        </w:rPr>
        <w:t>- [실험 설계와 체결 모형](https://github.com/Rowoon-Lee5/metric_studio_by_moon/blob/main/experiments/alpha_topology.py): 1,728개 조합과 체결률·시장충격 비용을 계산한 코드</w:t>
      </w:r>
    </w:p>
    <w:p>
      <w:pPr>
        <w:spacing w:after="160" w:line="320" w:lineRule="auto"/>
      </w:pPr>
      <w:r>
        <w:rPr>
          <w:rFonts w:ascii="Malgun Gothic" w:hAnsi="Malgun Gothic" w:eastAsia="Malgun Gothic"/>
          <w:sz w:val="22"/>
        </w:rPr>
        <w:t>- [전체 전략 성과표](https://github.com/Rowoon-Lee5/metric_studio_by_moon/blob/main/results/alpha_topology_nodes.csv): 각 조합의 CAGR, MDD, t-통계량, 평균 체결률</w:t>
      </w:r>
    </w:p>
    <w:p>
      <w:pPr>
        <w:spacing w:after="160" w:line="320" w:lineRule="auto"/>
      </w:pPr>
      <w:r>
        <w:rPr>
          <w:rFonts w:ascii="Malgun Gothic" w:hAnsi="Malgun Gothic" w:eastAsia="Malgun Gothic"/>
          <w:sz w:val="22"/>
        </w:rPr>
        <w:t>- [다중검정 보정 결과](https://github.com/Rowoon-Lee5/metric_studio_by_moon/blob/main/results/reality_check_report.json): 많은 조합 중 우연히 높은 전략을 골랐을 가능성을 점검한 결과</w:t>
      </w:r>
    </w:p>
    <w:p>
      <w:pPr>
        <w:spacing w:after="160" w:line="320" w:lineRule="auto"/>
      </w:pPr>
      <w:r>
        <w:rPr>
          <w:rFonts w:ascii="Malgun Gothic" w:hAnsi="Malgun Gothic" w:eastAsia="Malgun Gothic"/>
          <w:sz w:val="22"/>
        </w:rPr>
        <w:t>- [종료사건·비용·실행 감사](https://github.com/Rowoon-Lee5/metric_studio_by_moon/blob/main/results/closure_audits_report.json): 이 글에서 아직 결론으로 말할 수 없는 부분을 정리한 감사 기록</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p>
      <w:pPr>
        <w:keepNext/>
        <w:spacing w:before="120" w:after="60"/>
        <w:jc w:val="center"/>
      </w:pPr>
      <w:r>
        <w:drawing>
          <wp:inline xmlns:a="http://schemas.openxmlformats.org/drawingml/2006/main" xmlns:pic="http://schemas.openxmlformats.org/drawingml/2006/picture">
            <wp:extent cx="5577840" cy="2417064"/>
            <wp:docPr id="6" name="Picture 6"/>
            <wp:cNvGraphicFramePr>
              <a:graphicFrameLocks noChangeAspect="1"/>
            </wp:cNvGraphicFramePr>
            <a:graphic>
              <a:graphicData uri="http://schemas.openxmlformats.org/drawingml/2006/picture">
                <pic:pic>
                  <pic:nvPicPr>
                    <pic:cNvPr id="0" name="06_book_excerpt_popularity.png"/>
                    <pic:cNvPicPr/>
                  </pic:nvPicPr>
                  <pic:blipFill>
                    <a:blip r:embed="rId13"/>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4"/>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 GitHub에서 확인할 수 있는 것</w:t>
      </w:r>
    </w:p>
    <w:p>
      <w:pPr>
        <w:spacing w:after="160" w:line="320" w:lineRule="auto"/>
      </w:pPr>
      <w:r>
        <w:rPr>
          <w:rFonts w:ascii="Malgun Gothic" w:hAnsi="Malgun Gothic" w:eastAsia="Malgun Gothic"/>
          <w:sz w:val="22"/>
        </w:rPr>
        <w:t>- [원천 뉴스 관심도 재검증 코드](https://github.com/Rowoon-Lee5/metric_studio_by_moon/blob/main/experiments/news_attention_raw_validation.py): 뉴스량·거래회전율·미래수익률을 같은 시점에 맞춘 방법</w:t>
      </w:r>
    </w:p>
    <w:p>
      <w:pPr>
        <w:spacing w:after="160" w:line="320" w:lineRule="auto"/>
      </w:pPr>
      <w:r>
        <w:rPr>
          <w:rFonts w:ascii="Malgun Gothic" w:hAnsi="Malgun Gothic" w:eastAsia="Malgun Gothic"/>
          <w:sz w:val="22"/>
        </w:rPr>
        <w:t>- [뉴스량별 모멘텀 결과](https://github.com/Rowoon-Lee5/metric_studio_by_moon/blob/main/results/news_attention_raw_ic_summary.csv): 본문의 Rank IC 표와 동일한 원자료</w:t>
      </w:r>
    </w:p>
    <w:p>
      <w:pPr>
        <w:spacing w:after="160" w:line="320" w:lineRule="auto"/>
      </w:pPr>
      <w:r>
        <w:rPr>
          <w:rFonts w:ascii="Malgun Gothic" w:hAnsi="Malgun Gothic" w:eastAsia="Malgun Gothic"/>
          <w:sz w:val="22"/>
        </w:rPr>
        <w:t>- [뉴스량과 거래회전율의 불일치](https://github.com/Rowoon-Lee5/metric_studio_by_moon/blob/main/results/attention_measurement_agreement.csv): 두 변수가 상위 종목을 얼마나 다르게 고르는지 확인한 결과</w:t>
      </w:r>
    </w:p>
    <w:p>
      <w:pPr>
        <w:spacing w:after="160" w:line="320" w:lineRule="auto"/>
      </w:pPr>
      <w:r>
        <w:rPr>
          <w:rFonts w:ascii="Malgun Gothic" w:hAnsi="Malgun Gothic" w:eastAsia="Malgun Gothic"/>
          <w:sz w:val="22"/>
        </w:rPr>
        <w:t>- [원천 뉴스 검증 보고서](https://github.com/Rowoon-Lee5/metric_studio_by_moon/blob/main/results/news_attention_raw_report.json): 표본 범위와 블록 재표집 검정의 상세 기록</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p>
      <w:pPr>
        <w:keepNext/>
        <w:spacing w:before="120" w:after="60"/>
        <w:jc w:val="center"/>
      </w:pPr>
      <w:r>
        <w:drawing>
          <wp:inline xmlns:a="http://schemas.openxmlformats.org/drawingml/2006/main" xmlns:pic="http://schemas.openxmlformats.org/drawingml/2006/picture">
            <wp:extent cx="5577840" cy="2417064"/>
            <wp:docPr id="8" name="Picture 8"/>
            <wp:cNvGraphicFramePr>
              <a:graphicFrameLocks noChangeAspect="1"/>
            </wp:cNvGraphicFramePr>
            <a:graphic>
              <a:graphicData uri="http://schemas.openxmlformats.org/drawingml/2006/picture">
                <pic:pic>
                  <pic:nvPicPr>
                    <pic:cNvPr id="0" name="07_book_excerpt_strategy.png"/>
                    <pic:cNvPicPr/>
                  </pic:nvPicPr>
                  <pic:blipFill>
                    <a:blip r:embed="rId15"/>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패턴과 운용 전략</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9" name="Picture 9"/>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 GitHub에서 확인할 수 있는 것</w:t>
      </w:r>
    </w:p>
    <w:p>
      <w:pPr>
        <w:spacing w:after="160" w:line="320" w:lineRule="auto"/>
      </w:pPr>
      <w:r>
        <w:rPr>
          <w:rFonts w:ascii="Malgun Gothic" w:hAnsi="Malgun Gothic" w:eastAsia="Malgun Gothic"/>
          <w:sz w:val="22"/>
        </w:rPr>
        <w:t>- [모델 합의·공동 실패 실험 코드](https://github.com/Rowoon-Lee5/metric_studio_by_moon/blob/main/experiments/meta_structure_research.py): 네 신호의 표를 세고 합의 포트폴리오를 구성한 방법</w:t>
      </w:r>
    </w:p>
    <w:p>
      <w:pPr>
        <w:spacing w:after="160" w:line="320" w:lineRule="auto"/>
      </w:pPr>
      <w:r>
        <w:rPr>
          <w:rFonts w:ascii="Malgun Gothic" w:hAnsi="Malgun Gothic" w:eastAsia="Malgun Gothic"/>
          <w:sz w:val="22"/>
        </w:rPr>
        <w:t>- [합의 포트폴리오와 구성요소 평균 비교](https://github.com/Rowoon-Lee5/metric_studio_by_moon/blob/main/results/consensus_benchmark_summary.csv): 본문의 -12.9%와 5.8% CAGR을 확인할 수 있는 요약표</w:t>
      </w:r>
    </w:p>
    <w:p>
      <w:pPr>
        <w:spacing w:after="160" w:line="320" w:lineRule="auto"/>
      </w:pPr>
      <w:r>
        <w:rPr>
          <w:rFonts w:ascii="Malgun Gothic" w:hAnsi="Malgun Gothic" w:eastAsia="Malgun Gothic"/>
          <w:sz w:val="22"/>
        </w:rPr>
        <w:t>- [실험 해석과 제한](https://github.com/Rowoon-Lee5/metric_studio_by_moon/blob/main/results/meta_structure_report.json): 모델 수가 아니라 데이터 독립성을 문제로 본 이유</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p>
      <w:pPr>
        <w:keepNext/>
        <w:spacing w:before="120" w:after="60"/>
        <w:jc w:val="center"/>
      </w:pPr>
      <w:r>
        <w:drawing>
          <wp:inline xmlns:a="http://schemas.openxmlformats.org/drawingml/2006/main" xmlns:pic="http://schemas.openxmlformats.org/drawingml/2006/picture">
            <wp:extent cx="5577840" cy="2417064"/>
            <wp:docPr id="10" name="Picture 10"/>
            <wp:cNvGraphicFramePr>
              <a:graphicFrameLocks noChangeAspect="1"/>
            </wp:cNvGraphicFramePr>
            <a:graphic>
              <a:graphicData uri="http://schemas.openxmlformats.org/drawingml/2006/picture">
                <pic:pic>
                  <pic:nvPicPr>
                    <pic:cNvPr id="0" name="08_book_excerpt_mixed_results.png"/>
                    <pic:cNvPicPr/>
                  </pic:nvPicPr>
                  <pic:blipFill>
                    <a:blip r:embed="rId17"/>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상반된 시장 관찰</w:t>
      </w: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1" name="Picture 11"/>
            <wp:cNvGraphicFramePr>
              <a:graphicFrameLocks noChangeAspect="1"/>
            </wp:cNvGraphicFramePr>
            <a:graphic>
              <a:graphicData uri="http://schemas.openxmlformats.org/drawingml/2006/picture">
                <pic:pic>
                  <pic:nvPicPr>
                    <pic:cNvPr id="0" name="05_model_failure_coherence.png"/>
                    <pic:cNvPicPr/>
                  </pic:nvPicPr>
                  <pic:blipFill>
                    <a:blip r:embed="rId18"/>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 GitHub에서 확인할 수 있는 것</w:t>
      </w:r>
    </w:p>
    <w:p>
      <w:pPr>
        <w:spacing w:after="160" w:line="320" w:lineRule="auto"/>
      </w:pPr>
      <w:r>
        <w:rPr>
          <w:rFonts w:ascii="Malgun Gothic" w:hAnsi="Malgun Gothic" w:eastAsia="Malgun Gothic"/>
          <w:sz w:val="22"/>
        </w:rPr>
        <w:t>- [공동 실패 상태를 만드는 코드](https://github.com/Rowoon-Lee5/metric_studio_by_moon/blob/main/experiments/meta_structure_research.py): 네 신호의 동시 부진을 상태 변수로 바꾼 방법</w:t>
      </w:r>
    </w:p>
    <w:p>
      <w:pPr>
        <w:spacing w:after="160" w:line="320" w:lineRule="auto"/>
      </w:pPr>
      <w:r>
        <w:rPr>
          <w:rFonts w:ascii="Malgun Gothic" w:hAnsi="Malgun Gothic" w:eastAsia="Malgun Gothic"/>
          <w:sz w:val="22"/>
        </w:rPr>
        <w:t>- [실패 개수별 다음 달 시장수익률](https://github.com/Rowoon-Lee5/metric_studio_by_moon/blob/main/results/model_failure_state_summary.csv): 본문의 상태별 관측 수와 평균수익률 원자료</w:t>
      </w:r>
    </w:p>
    <w:p>
      <w:pPr>
        <w:spacing w:after="160" w:line="320" w:lineRule="auto"/>
      </w:pPr>
      <w:r>
        <w:rPr>
          <w:rFonts w:ascii="Malgun Gothic" w:hAnsi="Malgun Gothic" w:eastAsia="Malgun Gothic"/>
          <w:sz w:val="22"/>
        </w:rPr>
        <w:t>- [기간을 나눈 뒤의 검증 결과](https://github.com/Rowoon-Lee5/metric_studio_by_moon/blob/main/results/failure_coherence_time_split.csv): 2014년 전후에도 방향이 유지되는지 확인한 결과</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