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9"/>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0"/>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 GitHub에서 확인할 수 있는 것</w:t>
      </w:r>
    </w:p>
    <w:p>
      <w:pPr>
        <w:spacing w:after="160" w:line="320" w:lineRule="auto"/>
      </w:pPr>
      <w:r>
        <w:rPr>
          <w:rFonts w:ascii="Malgun Gothic" w:hAnsi="Malgun Gothic" w:eastAsia="Malgun Gothic"/>
          <w:sz w:val="22"/>
        </w:rPr>
        <w:t>- [원천 뉴스 관심도 재검증 코드](https://github.com/Rowoon-Lee5/metric_studio_by_moon/blob/main/experiments/news_attention_raw_validation.py): 뉴스량·거래회전율·미래수익률을 같은 시점에 맞춘 방법</w:t>
      </w:r>
    </w:p>
    <w:p>
      <w:pPr>
        <w:spacing w:after="160" w:line="320" w:lineRule="auto"/>
      </w:pPr>
      <w:r>
        <w:rPr>
          <w:rFonts w:ascii="Malgun Gothic" w:hAnsi="Malgun Gothic" w:eastAsia="Malgun Gothic"/>
          <w:sz w:val="22"/>
        </w:rPr>
        <w:t>- [뉴스량별 모멘텀 결과](https://github.com/Rowoon-Lee5/metric_studio_by_moon/blob/main/results/news_attention_raw_ic_summary.csv): 본문의 Rank IC 표와 동일한 원자료</w:t>
      </w:r>
    </w:p>
    <w:p>
      <w:pPr>
        <w:spacing w:after="160" w:line="320" w:lineRule="auto"/>
      </w:pPr>
      <w:r>
        <w:rPr>
          <w:rFonts w:ascii="Malgun Gothic" w:hAnsi="Malgun Gothic" w:eastAsia="Malgun Gothic"/>
          <w:sz w:val="22"/>
        </w:rPr>
        <w:t>- [뉴스량과 거래회전율의 불일치](https://github.com/Rowoon-Lee5/metric_studio_by_moon/blob/main/results/attention_measurement_agreement.csv): 두 변수가 상위 종목을 얼마나 다르게 고르는지 확인한 결과</w:t>
      </w:r>
    </w:p>
    <w:p>
      <w:pPr>
        <w:spacing w:after="160" w:line="320" w:lineRule="auto"/>
      </w:pPr>
      <w:r>
        <w:rPr>
          <w:rFonts w:ascii="Malgun Gothic" w:hAnsi="Malgun Gothic" w:eastAsia="Malgun Gothic"/>
          <w:sz w:val="22"/>
        </w:rPr>
        <w:t>- [원천 뉴스 검증 보고서](https://github.com/Rowoon-Lee5/metric_studio_by_moon/blob/main/results/news_attention_raw_report.json): 표본 범위와 블록 재표집 검정의 상세 기록</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