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 제한이 수익률에 미치는 영향은 포트폴리오와 그 운영 전략에 따라 다르므로 불변의 법칙은 없다.”</w:t>
            </w:r>
          </w:p>
        </w:tc>
      </w:tr>
    </w:tbl>
    <w:p>
      <w:pPr>
        <w:spacing w:after="0"/>
      </w:pP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2장에서 흥미로웠던 것은 정답보다 관찰의 기준이었다. 책은 상승장이었던 기간에도 아무 종목이나 샀을 때 일주일 뒤 수익이 났을 확률이 50%보다 낮았다는 예를 든다. 상승장이라는 사후 이름과 매주 투자자가 겪는 경험은 같지 않을 수 있다는 뜻이다. 나는 백테스트의 연평균 수익률도 같은 방식으로 읽어야 한다고 생각했다. 긴 기간의 평균이 좋아도, 그 결과가 몇 번의 극단적 사건에 기대고 있거나 실제로는 체결하기 어려운 종목에서 나왔다면 투자자가 경험할 전략은 달라진다.</w:t>
      </w:r>
    </w:p>
    <w:p>
      <w:pPr>
        <w:spacing w:after="160" w:line="320" w:lineRule="auto"/>
      </w:pPr>
      <w:r>
        <w:rPr>
          <w:rFonts w:ascii="Malgun Gothic" w:hAnsi="Malgun Gothic" w:eastAsia="Malgun Gothic"/>
          <w:sz w:val="22"/>
        </w:rPr>
        <w:t>주가를 보고도 같은 오류를 범하기 쉽다. “얼마까지 올랐는가”라는 질문은 가격만 보고, “얼마의 자본이 그 가격을 만들었는가”라는 질문은 시가총액과 거래대금을 본다. 나는 이 차이를 유동성 실험에도 그대로 적용했다. 유동성 상위 80%라는 숫자만 보면 종목 집합의 크기만 보인다. 하지만 그 안에서 몇 종목을 들고, 얼마를 주문하며, 주문이 거래대금의 몇 퍼센트를 차지하는지까지 보면 완전히 다른 문제가 된다.</w:t>
      </w:r>
    </w:p>
    <w:p>
      <w:pPr>
        <w:pStyle w:val="Heading2"/>
      </w:pPr>
      <w:r>
        <w:t>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전략이라기보다 백테스트 표면 위의 봉우리다. 반대로 인접한 조건에서도 비슷한 성과가 남는다면, 그때에야 운용 가능한 영역이라고 부를 근거가 생긴다. 1편에서는 이 차이를 ‘봉우리’와 ‘대륙’이라는 질문으로 정리한다.</w:t>
      </w:r>
    </w:p>
    <w:p>
      <w:pPr>
        <w:pStyle w:val="Heading2"/>
      </w:pPr>
      <w:r>
        <w:t>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pStyle w:val="Heading2"/>
      </w:pPr>
      <w:r>
        <w:t>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pStyle w:val="Heading2"/>
      </w:pPr>
      <w:r>
        <w:t>4. 시장은 가격보다 먼저 모델의 실패 방식으로 드러날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표준화하고, 동시에 부진한 모델 수와 그 다음 시장 수익률의 관계를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시장의 상태는 상승·하락 같은 사후 이름보다, 모델들이 함께 틀리는 방식으로 먼저 드러날 수 있다. 물론 작은 표본에서 나온 이 관계를 예측 규칙으로 과장할 수는 없다. 4편은 이 가설을 검증 가능한 상태 변수로 바꾸고, 어느 구간에서는 작동하지 않는지도 함께 남기는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00_연재_소개</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