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주문 충격, 운용 규모가 함께 들어 있다. 2장에 나온 인기주 이야기를 읽자 같은 문제가 다시 보였다. 이번에는 거래회전율이라는 숫자였다.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한 변수에 맡겼던 세 가지 일</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pStyle w:val="Heading2"/>
      </w:pPr>
      <w:r>
        <w:t>뉴스량을 붙인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3_observed_news_attention.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pStyle w:val="Heading2"/>
      </w:pPr>
      <w:r>
        <w:t>같은 관심을 측정했다면, 같은 종목을 골라야 한다</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tc>
      </w:tr>
    </w:tbl>
    <w:p>
      <w:pPr>
        <w:spacing w:after="0"/>
      </w:pPr>
    </w:p>
    <w:p>
      <w:pPr>
        <w:pStyle w:val="Heading2"/>
      </w:pPr>
      <w:r>
        <w:t>여기서 멈춰야 하는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pStyle w:val="Heading2"/>
      </w:pPr>
      <w:r>
        <w:t>관측하지 않은 것을 이름 붙일 때 생기는 오류</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 데이터는 어떻게 붙여야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