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봉우리인가, 대륙인가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keepNext/>
        <w:spacing w:before="120" w:after="60"/>
        <w:jc w:val="center"/>
      </w:pPr>
      <w:r>
        <w:drawing>
          <wp:inline xmlns:a="http://schemas.openxmlformats.org/drawingml/2006/main" xmlns:pic="http://schemas.openxmlformats.org/drawingml/2006/picture">
            <wp:extent cx="5577840" cy="2417064"/>
            <wp:docPr id="2" name="Picture 2"/>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계수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0.5 · 1.0 · 1.5 · 2.0배</w:t>
            </w:r>
          </w:p>
        </w:tc>
      </w:tr>
    </w:tbl>
    <w:p>
      <w:pPr>
        <w:spacing w:after="0"/>
      </w:pPr>
    </w:p>
    <w:p>
      <w:pPr>
        <w:spacing w:after="160" w:line="320" w:lineRule="auto"/>
      </w:pPr>
      <w:r>
        <w:rPr>
          <w:rFonts w:ascii="Malgun Gothic" w:hAnsi="Malgun Gothic" w:eastAsia="Malgun Gothic"/>
          <w:sz w:val="22"/>
        </w:rPr>
        <w:t>편도 비용은 기본 10bp에 주문금액이 해당 종목의 거래대금에서 차지하는 비중의 제곱근에 비례한 시장충격을 더해 계산했다. 표의 0.5~2.0배는 이 시장충격 부분에만 적용한 계수다. 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spacing w:after="160" w:line="320" w:lineRule="auto"/>
      </w:pPr>
      <w:r>
        <w:rPr>
          <w:rFonts w:ascii="Malgun Gothic" w:hAnsi="Malgun Gothic" w:eastAsia="Malgun Gothic"/>
          <w:sz w:val="22"/>
        </w:rPr>
        <w:t>## 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 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재현 자료</w:t>
      </w:r>
    </w:p>
    <w:p>
      <w:pPr>
        <w:pStyle w:val="ListBullet"/>
        <w:spacing w:after="80"/>
      </w:pPr>
      <w:r>
        <w:rPr>
          <w:rFonts w:ascii="Malgun Gothic" w:hAnsi="Malgun Gothic" w:eastAsia="Malgun Gothic"/>
          <w:color w:val="373737"/>
          <w:sz w:val="19"/>
        </w:rPr>
        <w:t>실험 코드: https://github.com/Rowoon-Lee5/metric_studio_by_moon/blob/main/experiments/alpha_topology.py</w:t>
      </w:r>
    </w:p>
    <w:p>
      <w:pPr>
        <w:pStyle w:val="ListBullet"/>
        <w:spacing w:after="80"/>
      </w:pPr>
      <w:r>
        <w:rPr>
          <w:rFonts w:ascii="Malgun Gothic" w:hAnsi="Malgun Gothic" w:eastAsia="Malgun Gothic"/>
          <w:color w:val="373737"/>
          <w:sz w:val="19"/>
        </w:rPr>
        <w:t>다중검정 보정 코드: https://github.com/Rowoon-Lee5/metric_studio_by_moon/blob/main/experiments/reality_check.py</w:t>
      </w:r>
    </w:p>
    <w:p>
      <w:pPr>
        <w:pStyle w:val="ListBullet"/>
        <w:spacing w:after="80"/>
      </w:pPr>
      <w:r>
        <w:rPr>
          <w:rFonts w:ascii="Malgun Gothic" w:hAnsi="Malgun Gothic" w:eastAsia="Malgun Gothic"/>
          <w:color w:val="373737"/>
          <w:sz w:val="19"/>
        </w:rPr>
        <w:t>전략별 결과: https://github.com/Rowoon-Lee5/metric_studio_by_moon/blob/main/results/alpha_topology_nodes.csv</w:t>
      </w:r>
    </w:p>
    <w:p>
      <w:pPr>
        <w:pStyle w:val="ListBullet"/>
        <w:spacing w:after="80"/>
      </w:pPr>
      <w:r>
        <w:rPr>
          <w:rFonts w:ascii="Malgun Gothic" w:hAnsi="Malgun Gothic" w:eastAsia="Malgun Gothic"/>
          <w:color w:val="373737"/>
          <w:sz w:val="19"/>
        </w:rPr>
        <w:t>가족단위 현실성 검정 결과: https://github.com/Rowoon-Lee5/metric_studio_by_moon/blob/main/results/reality_check_report.json</w:t>
      </w:r>
    </w:p>
    <w:p>
      <w:pPr>
        <w:pStyle w:val="ListBullet"/>
        <w:spacing w:after="80"/>
      </w:pPr>
      <w:r>
        <w:rPr>
          <w:rFonts w:ascii="Malgun Gothic" w:hAnsi="Malgun Gothic" w:eastAsia="Malgun Gothic"/>
          <w:color w:val="373737"/>
          <w:sz w:val="19"/>
        </w:rPr>
        <w:t>시간 분할·커버리지 감사 결과: https://github.com/Rowoon-Lee5/metric_studio_by_moon/blob/main/results/robustness_audit_report.json</w:t>
      </w:r>
    </w:p>
    <w:p>
      <w:pPr>
        <w:pStyle w:val="ListBullet"/>
        <w:spacing w:after="80"/>
      </w:pPr>
      <w:r>
        <w:rPr>
          <w:rFonts w:ascii="Malgun Gothic" w:hAnsi="Malgun Gothic" w:eastAsia="Malgun Gothic"/>
          <w:color w:val="373737"/>
          <w:sz w:val="19"/>
        </w:rPr>
        <w:t>거래정지 보정 결과: https://github.com/Rowoon-Lee5/metric_studio_by_moon/blob/main/results/suspension_screen_audit_report.json</w:t>
      </w:r>
    </w:p>
    <w:p>
      <w:pPr>
        <w:pStyle w:val="ListBullet"/>
        <w:spacing w:after="80"/>
      </w:pPr>
      <w:r>
        <w:rPr>
          <w:rFonts w:ascii="Malgun Gothic" w:hAnsi="Malgun Gothic" w:eastAsia="Malgun Gothic"/>
          <w:color w:val="373737"/>
          <w:sz w:val="19"/>
        </w:rPr>
        <w:t>상장폐지 유니버스 포함 감사: https://github.com/Rowoon-Lee5/metric_studio_by_moon/blob/main/results/delisting_universe_audit_report.json</w:t>
      </w:r>
    </w:p>
    <w:p>
      <w:pPr>
        <w:pStyle w:val="ListBullet"/>
        <w:spacing w:after="80"/>
      </w:pPr>
      <w:r>
        <w:rPr>
          <w:rFonts w:ascii="Malgun Gothic" w:hAnsi="Malgun Gothic" w:eastAsia="Malgun Gothic"/>
          <w:color w:val="373737"/>
          <w:sz w:val="19"/>
        </w:rPr>
        <w:t>PIT·실행비용·종료사건 보정 감사: https://github.com/Rowoon-Lee5/metric_studio_by_moon/blob/main/results/closure_audits_report.json</w:t>
      </w:r>
    </w:p>
    <w:p>
      <w:pPr>
        <w:pStyle w:val="ListBullet"/>
        <w:spacing w:after="80"/>
      </w:pPr>
      <w:r>
        <w:rPr>
          <w:rFonts w:ascii="Malgun Gothic" w:hAnsi="Malgun Gothic" w:eastAsia="Malgun Gothic"/>
          <w:color w:val="373737"/>
          <w:sz w:val="19"/>
        </w:rPr>
        <w:t>유동성 매칭 벤치마크·실제 교체율 감사: https://github.com/Rowoon-Lee5/metric_studio_by_moon/blob/main/results/benchmark_turnover_audit_report.json</w:t>
      </w:r>
    </w:p>
    <w:p>
      <w:pPr>
        <w:pStyle w:val="ListBullet"/>
        <w:spacing w:after="80"/>
      </w:pPr>
      <w:r>
        <w:rPr>
          <w:rFonts w:ascii="Malgun Gothic" w:hAnsi="Malgun Gothic" w:eastAsia="Malgun Gothic"/>
          <w:color w:val="373737"/>
          <w:sz w:val="19"/>
        </w:rPr>
        <w:t>DART 종료사건 공시 탐색 결과: https://github.com/Rowoon-Lee5/metric_studio_by_moon/blob/main/results/dart_terminal_event_discovery_report.json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p>
      <w:pPr>
        <w:keepNext/>
        <w:spacing w:before="120" w:after="60"/>
        <w:jc w:val="center"/>
      </w:pPr>
      <w:r>
        <w:drawing>
          <wp:inline xmlns:a="http://schemas.openxmlformats.org/drawingml/2006/main" xmlns:pic="http://schemas.openxmlformats.org/drawingml/2006/picture">
            <wp:extent cx="5577840" cy="2417064"/>
            <wp:docPr id="6" name="Picture 6"/>
            <wp:cNvGraphicFramePr>
              <a:graphicFrameLocks noChangeAspect="1"/>
            </wp:cNvGraphicFramePr>
            <a:graphic>
              <a:graphicData uri="http://schemas.openxmlformats.org/drawingml/2006/picture">
                <pic:pic>
                  <pic:nvPicPr>
                    <pic:cNvPr id="0" name="06_book_excerpt_popularity.png"/>
                    <pic:cNvPicPr/>
                  </pic:nvPicPr>
                  <pic:blipFill>
                    <a:blip r:embed="rId13"/>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4"/>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p>
      <w:pPr>
        <w:keepNext/>
        <w:spacing w:before="120" w:after="60"/>
        <w:jc w:val="center"/>
      </w:pPr>
      <w:r>
        <w:drawing>
          <wp:inline xmlns:a="http://schemas.openxmlformats.org/drawingml/2006/main" xmlns:pic="http://schemas.openxmlformats.org/drawingml/2006/picture">
            <wp:extent cx="5577840" cy="2417064"/>
            <wp:docPr id="8" name="Picture 8"/>
            <wp:cNvGraphicFramePr>
              <a:graphicFrameLocks noChangeAspect="1"/>
            </wp:cNvGraphicFramePr>
            <a:graphic>
              <a:graphicData uri="http://schemas.openxmlformats.org/drawingml/2006/picture">
                <pic:pic>
                  <pic:nvPicPr>
                    <pic:cNvPr id="0" name="07_book_excerpt_strategy.png"/>
                    <pic:cNvPicPr/>
                  </pic:nvPicPr>
                  <pic:blipFill>
                    <a:blip r:embed="rId15"/>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패턴과 운용 전략</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9" name="Picture 9"/>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pStyle w:val="Heading2"/>
      </w:pPr>
      <w:r>
        <w:t>재현 자료</w:t>
      </w:r>
    </w:p>
    <w:p>
      <w:pPr>
        <w:pStyle w:val="ListBullet"/>
        <w:spacing w:after="80"/>
      </w:pPr>
      <w:r>
        <w:rPr>
          <w:rFonts w:ascii="Malgun Gothic" w:hAnsi="Malgun Gothic" w:eastAsia="Malgun Gothic"/>
          <w:color w:val="373737"/>
          <w:sz w:val="19"/>
        </w:rPr>
        <w:t>합의·실패 구조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 월별 수익률: https://github.com/Rowoon-Lee5/metric_studio_by_moon/blob/main/results/epistemic_stability_returns.csv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구성요소 벤치마크 결과: https://github.com/Rowoon-Lee5/metric_studio_by_moon/blob/main/results/consensus_benchmark_summary.csv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p>
      <w:pPr>
        <w:keepNext/>
        <w:spacing w:before="120" w:after="60"/>
        <w:jc w:val="center"/>
      </w:pPr>
      <w:r>
        <w:drawing>
          <wp:inline xmlns:a="http://schemas.openxmlformats.org/drawingml/2006/main" xmlns:pic="http://schemas.openxmlformats.org/drawingml/2006/picture">
            <wp:extent cx="5577840" cy="2417064"/>
            <wp:docPr id="10" name="Picture 10"/>
            <wp:cNvGraphicFramePr>
              <a:graphicFrameLocks noChangeAspect="1"/>
            </wp:cNvGraphicFramePr>
            <a:graphic>
              <a:graphicData uri="http://schemas.openxmlformats.org/drawingml/2006/picture">
                <pic:pic>
                  <pic:nvPicPr>
                    <pic:cNvPr id="0" name="08_book_excerpt_mixed_results.png"/>
                    <pic:cNvPicPr/>
                  </pic:nvPicPr>
                  <pic:blipFill>
                    <a:blip r:embed="rId17"/>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상반된 시장 관찰</w:t>
      </w: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1" name="Picture 11"/>
            <wp:cNvGraphicFramePr>
              <a:graphicFrameLocks noChangeAspect="1"/>
            </wp:cNvGraphicFramePr>
            <a:graphic>
              <a:graphicData uri="http://schemas.openxmlformats.org/drawingml/2006/picture">
                <pic:pic>
                  <pic:nvPicPr>
                    <pic:cNvPr id="0" name="05_model_failure_coherence.png"/>
                    <pic:cNvPicPr/>
                  </pic:nvPicPr>
                  <pic:blipFill>
                    <a:blip r:embed="rId18"/>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pStyle w:val="Heading2"/>
      </w:pPr>
      <w:r>
        <w:t>재현 자료</w:t>
      </w:r>
    </w:p>
    <w:p>
      <w:pPr>
        <w:pStyle w:val="ListBullet"/>
        <w:spacing w:after="80"/>
      </w:pPr>
      <w:r>
        <w:rPr>
          <w:rFonts w:ascii="Malgun Gothic" w:hAnsi="Malgun Gothic" w:eastAsia="Malgun Gothic"/>
          <w:color w:val="373737"/>
          <w:sz w:val="19"/>
        </w:rPr>
        <w:t>실패 공분산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상태별 결과: https://github.com/Rowoon-Lee5/metric_studio_by_moon/blob/main/results/model_failure_state_summary.csv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시간 분할 실패 상태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