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전략이라기보다 백테스트 표면 위의 봉우리다. 반대로 인접한 조건에서도 비슷한 성과가 남는다면, 그때에야 운용 가능한 영역이라고 부를 근거가 생긴다. 1편에서는 이 차이를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봉우리인가, 대륙인가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계수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0.5 · 1.0 · 1.5 · 2.0배</w:t>
            </w:r>
          </w:p>
        </w:tc>
      </w:tr>
    </w:tbl>
    <w:p>
      <w:pPr>
        <w:spacing w:after="0"/>
      </w:pPr>
    </w:p>
    <w:p>
      <w:pPr>
        <w:spacing w:after="160" w:line="320" w:lineRule="auto"/>
      </w:pPr>
      <w:r>
        <w:rPr>
          <w:rFonts w:ascii="Malgun Gothic" w:hAnsi="Malgun Gothic" w:eastAsia="Malgun Gothic"/>
          <w:sz w:val="22"/>
        </w:rPr>
        <w:t>편도 비용은 기본 10bp에 주문금액이 해당 종목의 거래대금에서 차지하는 비중의 제곱근에 비례한 시장충격을 더해 계산했다. 표의 0.5~2.0배는 이 시장충격 부분에만 적용한 계수다. 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01_robustness_map.png"/>
                    <pic:cNvPicPr/>
                  </pic:nvPicPr>
                  <pic:blipFill>
                    <a:blip r:embed="rId9"/>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2" name="Picture 2"/>
            <wp:cNvGraphicFramePr>
              <a:graphicFrameLocks noChangeAspect="1"/>
            </wp:cNvGraphicFramePr>
            <a:graphic>
              <a:graphicData uri="http://schemas.openxmlformats.org/drawingml/2006/picture">
                <pic:pic>
                  <pic:nvPicPr>
                    <pic:cNvPr id="0" name="02_evidence_decision_boundary.png"/>
                    <pic:cNvPicPr/>
                  </pic:nvPicPr>
                  <pic:blipFill>
                    <a:blip r:embed="rId10"/>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spacing w:after="160" w:line="320" w:lineRule="auto"/>
      </w:pPr>
      <w:r>
        <w:rPr>
          <w:rFonts w:ascii="Malgun Gothic" w:hAnsi="Malgun Gothic" w:eastAsia="Malgun Gothic"/>
          <w:sz w:val="22"/>
        </w:rPr>
        <w:t>## 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10_suspension_screened_smallcap.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 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3_observed_news_attention.png"/>
                    <pic:cNvPicPr/>
                  </pic:nvPicPr>
                  <pic:blipFill>
                    <a:blip r:embed="rId12"/>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5" name="Picture 5"/>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4"/>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