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jc w:val="left"/>
      </w:pPr>
      <w:r>
        <w:t>『문병로 교수의 메트릭 스튜디오 02』 2장 「시장관찰」 1. 알파는 조건이 바뀌어도 남는가</w:t>
      </w:r>
    </w:p>
    <w:p>
      <w:pPr>
        <w:spacing w:after="160" w:line="320" w:lineRule="auto"/>
      </w:pPr>
      <w:r>
        <w:rPr>
          <w:rFonts w:ascii="맑은 고딕" w:eastAsia="맑은 고딕" w:hAnsi="맑은 고딕"/>
          <w:sz w:val="22"/>
        </w:rPr>
        <w:t>&gt; “유니버스가 넓어질수록 유동성이 부족한 종목들이 상당히 포함되어 실전에서의 슬리피지는 더 많이 발생한다.”</w:t>
      </w:r>
    </w:p>
    <w:p>
      <w:pPr>
        <w:spacing w:after="160" w:line="320" w:lineRule="auto"/>
      </w:pPr>
      <w:r>
        <w:rPr>
          <w:rFonts w:ascii="맑은 고딕" w:eastAsia="맑은 고딕" w:hAnsi="맑은 고딕"/>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w="0" w:type="auto"/>
        <w:tblLook w:val="04A0" w:firstRow="1" w:lastRow="0" w:firstColumn="1" w:lastColumn="0" w:noHBand="0" w:noVBand="1"/>
        <w:jc w:val="center"/>
        <w:tblLayout w:type="fixed"/>
      </w:tblPr>
      <w:tblGrid>
        <w:gridCol w:w="9360"/>
      </w:tblGrid>
      <w:tr>
        <w:tc>
          <w:tcPr>
            <w:tcW w:w="9072" w:type="dxa"/>
            <w:shd w:val="clear" w:color="auto" w:fill="F4F6F9"/>
            <w:tcMar>
              <w:top w:w="110" w:type="dxa"/>
              <w:bottom w:w="110" w:type="dxa"/>
            </w:tcMar>
            <w:vAlign w:val="center"/>
          </w:tcPr>
          <w:p>
            <w:pPr>
              <w:spacing w:after="0" w:line="288" w:lineRule="auto"/>
            </w:pPr>
            <w:r>
              <w:rPr>
                <w:rFonts w:ascii="맑은 고딕" w:eastAsia="맑은 고딕" w:hAnsi="맑은 고딕"/>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맑은 고딕" w:eastAsia="맑은 고딕" w:hAnsi="맑은 고딕"/>
          <w:sz w:val="22"/>
        </w:rPr>
        <w:t>처음에는 이 숫자를 전략의 조건으로 적어 두고 싶었다. 유동성 상위 80%를 사용하면 되겠다고 말이다.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맑은 고딕" w:eastAsia="맑은 고딕" w:hAnsi="맑은 고딕"/>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jc w:val="center"/>
        <w:spacing w:after="60" w:before="120"/>
      </w:pPr>
      <w:r>
        <w:drawing>
          <wp:inline distT="0" distB="0" distL="180" distR="180">
            <wp:extent cx="5577840" cy="3470656"/>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577840" cy="3470656"/>
                    </a:xfrm>
                    <a:prstGeom prst="rect">
                      <a:avLst/>
                    </a:prstGeom>
                  </pic:spPr>
                </pic:pic>
              </a:graphicData>
            </a:graphic>
          </wp:inline>
        </w:drawing>
      </w:r>
    </w:p>
    <w:p>
      <w:pPr>
        <w:pStyle w:val="FigureCaption"/>
        <w:jc w:val="center"/>
      </w:pPr>
      <w:r>
        <w:rPr>
          <w:rFonts w:ascii="맑은 고딕" w:eastAsia="맑은 고딕" w:hAnsi="맑은 고딕"/>
          <w:color w:val="595959"/>
          <w:sz w:val="18"/>
        </w:rPr>
        <w:t>책 2장 그림 18. 유동성 유니버스 제한에 따른 포트폴리오 수익률 변화 추이(사진 기준 재작성)</w:t>
      </w:r>
    </w:p>
    <w:p>
      <w:pPr>
        <w:spacing w:after="160" w:line="320" w:lineRule="auto"/>
      </w:pPr>
      <w:r>
        <w:rPr>
          <w:rFonts w:ascii="맑은 고딕" w:eastAsia="맑은 고딕" w:hAnsi="맑은 고딕"/>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상위 70% 이후 기울기가 완만해지고, 80%와 90% 사이에서는 오히려 작은 흔들림이 보인다. 이 모양은 ‘유동성은 많을수록 좋다’도, ‘유동성 80%가 항상 최적이다’도 아닌 질문을 만든다. 수익률 곡선이 평평해지는 지점에서 늘어난 종목 수가 운용 가능성의 감소를 보상하는가.</w:t>
      </w:r>
    </w:p>
    <w:p>
      <w:pPr>
        <w:spacing w:after="160" w:line="320" w:lineRule="auto"/>
      </w:pPr>
      <w:r>
        <w:rPr>
          <w:rFonts w:ascii="맑은 고딕" w:eastAsia="맑은 고딕" w:hAnsi="맑은 고딕"/>
          <w:sz w:val="22"/>
        </w:rPr>
        <w:t>내 실험의 수익률을 이 그림의 66.16%와 직접 비교하지는 않았다. 표본 기간, 신호의 정의, 종목 수, 리밸런싱, 비용 모형이 다르면 같은 ‘유동성 상위 80%’도 같은 포트폴리오가 아니다. 책의 숫자를 재현하지 못했다고 반박할 수도 없고, 비슷한 모양이 나왔다고 검증됐다고 말할 수도 없다. 이 글의 목적은 책의 한 숫자를 복사하는 일이 아니라, 그 숫자가 성립하려면 무엇이 고정돼 있어야 하는지 분해하는 일이다.</w:t>
      </w:r>
    </w:p>
    <w:p>
      <w:pPr>
        <w:spacing w:after="160" w:line="320" w:lineRule="auto"/>
      </w:pPr>
      <w:r>
        <w:rPr>
          <w:rFonts w:ascii="맑은 고딕" w:eastAsia="맑은 고딕" w:hAnsi="맑은 고딕"/>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맑은 고딕" w:eastAsia="맑은 고딕" w:hAnsi="맑은 고딕"/>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맑은 고딕" w:eastAsia="맑은 고딕" w:hAnsi="맑은 고딕"/>
          <w:sz w:val="22"/>
        </w:rPr>
        <w:t>그래서 책의 숫자를 재현하는 대신 질문을 바꿨다.</w:t>
      </w:r>
    </w:p>
    <w:p>
      <w:pPr>
        <w:spacing w:after="160" w:line="320" w:lineRule="auto"/>
      </w:pPr>
      <w:r>
        <w:rPr>
          <w:rFonts w:ascii="맑은 고딕" w:eastAsia="맑은 고딕" w:hAnsi="맑은 고딕"/>
          <w:b/>
          <w:sz w:val="22"/>
        </w:rPr>
        <w:t>‘유동성 상위 몇 퍼센트가 가장 좋은가’가 아니라, 비용과 운용 규모를 조금만 바꿔도 사라지는 전략을 알파라고 부를 수 있는가.</w:t>
      </w:r>
    </w:p>
    <w:p>
      <w:pPr>
        <w:spacing w:after="160" w:line="320" w:lineRule="auto"/>
      </w:pPr>
      <w:r>
        <w:rPr>
          <w:rFonts w:ascii="맑은 고딕" w:eastAsia="맑은 고딕" w:hAnsi="맑은 고딕"/>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맑은 고딕" w:eastAsia="맑은 고딕" w:hAnsi="맑은 고딕"/>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Layout w:type="fixed"/>
      </w:tblPr>
      <w:tblGrid>
        <w:gridCol w:w="4680"/>
        <w:gridCol w:w="4680"/>
      </w:tblGrid>
      <w:tr>
        <w:tc>
          <w:tcPr>
            <w:tcW w:w="4428" w:type="dxa"/>
            <w:shd w:val="clear" w:color="auto" w:fill="F2F4F7"/>
            <w:tcMar>
              <w:top w:w="80" w:type="dxa"/>
              <w:bottom w:w="80" w:type="dxa"/>
            </w:tcMar>
            <w:vAlign w:val="center"/>
          </w:tcPr>
          <w:p>
            <w:pPr>
              <w:jc w:val="center"/>
              <w:spacing w:after="0"/>
            </w:pPr>
            <w:r>
              <w:rPr>
                <w:rFonts w:ascii="맑은 고딕" w:eastAsia="맑은 고딕" w:hAnsi="맑은 고딕"/>
                <w:b/>
                <w:sz w:val="20"/>
              </w:rPr>
              <w:t>바꾼 조건</w:t>
            </w:r>
          </w:p>
        </w:tc>
        <w:tc>
          <w:tcPr>
            <w:tcW w:w="4428" w:type="dxa"/>
            <w:shd w:val="clear" w:color="auto" w:fill="F2F4F7"/>
            <w:tcMar>
              <w:top w:w="80" w:type="dxa"/>
              <w:bottom w:w="80" w:type="dxa"/>
            </w:tcMar>
            <w:vAlign w:val="center"/>
          </w:tcPr>
          <w:p>
            <w:pPr>
              <w:jc w:val="center"/>
              <w:spacing w:after="0"/>
            </w:pPr>
            <w:r>
              <w:rPr>
                <w:rFonts w:ascii="맑은 고딕" w:eastAsia="맑은 고딕" w:hAnsi="맑은 고딕"/>
                <w:b/>
                <w:sz w:val="20"/>
              </w:rPr>
              <w:t>범위</w:t>
            </w:r>
          </w:p>
        </w:tc>
      </w:tr>
      <w:tr>
        <w:tc>
          <w:tcPr>
            <w:tcW w:w="4428" w:type="dxa"/>
            <w:tcMar>
              <w:top w:w="80" w:type="dxa"/>
              <w:bottom w:w="80" w:type="dxa"/>
            </w:tcMar>
            <w:vAlign w:val="center"/>
          </w:tcPr>
          <w:p>
            <w:pPr>
              <w:jc w:val="center"/>
              <w:spacing w:after="0"/>
            </w:pPr>
            <w:r>
              <w:rPr>
                <w:rFonts w:ascii="맑은 고딕" w:eastAsia="맑은 고딕" w:hAnsi="맑은 고딕"/>
                <w:b w:val="0"/>
                <w:sz w:val="20"/>
              </w:rPr>
              <w:t>신호</w:t>
            </w:r>
          </w:p>
        </w:tc>
        <w:tc>
          <w:tcPr>
            <w:tcW w:w="4428" w:type="dxa"/>
            <w:tcMar>
              <w:top w:w="80" w:type="dxa"/>
              <w:bottom w:w="80" w:type="dxa"/>
            </w:tcMar>
            <w:vAlign w:val="center"/>
          </w:tcPr>
          <w:p>
            <w:pPr>
              <w:jc w:val="center"/>
              <w:spacing w:after="0"/>
            </w:pPr>
            <w:r>
              <w:rPr>
                <w:rFonts w:ascii="맑은 고딕" w:eastAsia="맑은 고딕" w:hAnsi="맑은 고딕"/>
                <w:b w:val="0"/>
                <w:sz w:val="20"/>
              </w:rPr>
              <w:t>1개월 반전 · 6개월 모멘텀 · 저변동성 · 소형주</w:t>
            </w:r>
          </w:p>
        </w:tc>
      </w:tr>
      <w:tr>
        <w:tc>
          <w:tcPr>
            <w:tcW w:w="4428" w:type="dxa"/>
            <w:tcMar>
              <w:top w:w="80" w:type="dxa"/>
              <w:bottom w:w="80" w:type="dxa"/>
            </w:tcMar>
            <w:vAlign w:val="center"/>
          </w:tcPr>
          <w:p>
            <w:pPr>
              <w:jc w:val="center"/>
              <w:spacing w:after="0"/>
            </w:pPr>
            <w:r>
              <w:rPr>
                <w:rFonts w:ascii="맑은 고딕" w:eastAsia="맑은 고딕" w:hAnsi="맑은 고딕"/>
                <w:b w:val="0"/>
                <w:sz w:val="20"/>
              </w:rPr>
              <w:t>유동성 유니버스</w:t>
            </w:r>
          </w:p>
        </w:tc>
        <w:tc>
          <w:tcPr>
            <w:tcW w:w="4428" w:type="dxa"/>
            <w:tcMar>
              <w:top w:w="80" w:type="dxa"/>
              <w:bottom w:w="80" w:type="dxa"/>
            </w:tcMar>
            <w:vAlign w:val="center"/>
          </w:tcPr>
          <w:p>
            <w:pPr>
              <w:jc w:val="center"/>
              <w:spacing w:after="0"/>
            </w:pPr>
            <w:r>
              <w:rPr>
                <w:rFonts w:ascii="맑은 고딕" w:eastAsia="맑은 고딕" w:hAnsi="맑은 고딕"/>
                <w:b w:val="0"/>
                <w:sz w:val="20"/>
              </w:rPr>
              <w:t>상위 20% ~ 전체 시장</w:t>
            </w:r>
          </w:p>
        </w:tc>
      </w:tr>
      <w:tr>
        <w:tc>
          <w:tcPr>
            <w:tcW w:w="4428" w:type="dxa"/>
            <w:tcMar>
              <w:top w:w="80" w:type="dxa"/>
              <w:bottom w:w="80" w:type="dxa"/>
            </w:tcMar>
            <w:vAlign w:val="center"/>
          </w:tcPr>
          <w:p>
            <w:pPr>
              <w:jc w:val="center"/>
              <w:spacing w:after="0"/>
            </w:pPr>
            <w:r>
              <w:rPr>
                <w:rFonts w:ascii="맑은 고딕" w:eastAsia="맑은 고딕" w:hAnsi="맑은 고딕"/>
                <w:b w:val="0"/>
                <w:sz w:val="20"/>
              </w:rPr>
              <w:t>보유 종목 수</w:t>
            </w:r>
          </w:p>
        </w:tc>
        <w:tc>
          <w:tcPr>
            <w:tcW w:w="4428" w:type="dxa"/>
            <w:tcMar>
              <w:top w:w="80" w:type="dxa"/>
              <w:bottom w:w="80" w:type="dxa"/>
            </w:tcMar>
            <w:vAlign w:val="center"/>
          </w:tcPr>
          <w:p>
            <w:pPr>
              <w:jc w:val="center"/>
              <w:spacing w:after="0"/>
            </w:pPr>
            <w:r>
              <w:rPr>
                <w:rFonts w:ascii="맑은 고딕" w:eastAsia="맑은 고딕" w:hAnsi="맑은 고딕"/>
                <w:b w:val="0"/>
                <w:sz w:val="20"/>
              </w:rPr>
              <w:t>10 · 20 · 30 · 50개</w:t>
            </w:r>
          </w:p>
        </w:tc>
      </w:tr>
      <w:tr>
        <w:tc>
          <w:tcPr>
            <w:tcW w:w="4428" w:type="dxa"/>
            <w:tcMar>
              <w:top w:w="80" w:type="dxa"/>
              <w:bottom w:w="80" w:type="dxa"/>
            </w:tcMar>
            <w:vAlign w:val="center"/>
          </w:tcPr>
          <w:p>
            <w:pPr>
              <w:jc w:val="center"/>
              <w:spacing w:after="0"/>
            </w:pPr>
            <w:r>
              <w:rPr>
                <w:rFonts w:ascii="맑은 고딕" w:eastAsia="맑은 고딕" w:hAnsi="맑은 고딕"/>
                <w:b w:val="0"/>
                <w:sz w:val="20"/>
              </w:rPr>
              <w:t>운용 규모</w:t>
            </w:r>
          </w:p>
        </w:tc>
        <w:tc>
          <w:tcPr>
            <w:tcW w:w="4428" w:type="dxa"/>
            <w:tcMar>
              <w:top w:w="80" w:type="dxa"/>
              <w:bottom w:w="80" w:type="dxa"/>
            </w:tcMar>
            <w:vAlign w:val="center"/>
          </w:tcPr>
          <w:p>
            <w:pPr>
              <w:jc w:val="center"/>
              <w:spacing w:after="0"/>
            </w:pPr>
            <w:r>
              <w:rPr>
                <w:rFonts w:ascii="맑은 고딕" w:eastAsia="맑은 고딕" w:hAnsi="맑은 고딕"/>
                <w:b w:val="0"/>
                <w:sz w:val="20"/>
              </w:rPr>
              <w:t>1억 · 10억 · 100억 원</w:t>
            </w:r>
          </w:p>
        </w:tc>
      </w:tr>
      <w:tr>
        <w:tc>
          <w:tcPr>
            <w:tcW w:w="4428" w:type="dxa"/>
            <w:tcMar>
              <w:top w:w="80" w:type="dxa"/>
              <w:bottom w:w="80" w:type="dxa"/>
            </w:tcMar>
            <w:vAlign w:val="center"/>
          </w:tcPr>
          <w:p>
            <w:pPr>
              <w:jc w:val="center"/>
              <w:spacing w:after="0"/>
            </w:pPr>
            <w:r>
              <w:rPr>
                <w:rFonts w:ascii="맑은 고딕" w:eastAsia="맑은 고딕" w:hAnsi="맑은 고딕"/>
                <w:b w:val="0"/>
                <w:sz w:val="20"/>
              </w:rPr>
              <w:t>시장충격 가정</w:t>
            </w:r>
          </w:p>
        </w:tc>
        <w:tc>
          <w:tcPr>
            <w:tcW w:w="4428" w:type="dxa"/>
            <w:tcMar>
              <w:top w:w="80" w:type="dxa"/>
              <w:bottom w:w="80" w:type="dxa"/>
            </w:tcMar>
            <w:vAlign w:val="center"/>
          </w:tcPr>
          <w:p>
            <w:pPr>
              <w:jc w:val="center"/>
              <w:spacing w:after="0"/>
            </w:pPr>
            <w:r>
              <w:rPr>
                <w:rFonts w:ascii="맑은 고딕" w:eastAsia="맑은 고딕" w:hAnsi="맑은 고딕"/>
                <w:b w:val="0"/>
                <w:sz w:val="20"/>
              </w:rPr>
              <w:t>추정 시장충격의 0.5 · 1.0 · 1.5 · 2.0배</w:t>
            </w:r>
          </w:p>
        </w:tc>
      </w:tr>
    </w:tbl>
    <w:p>
      <w:pPr>
        <w:spacing w:after="0"/>
      </w:pPr>
    </w:p>
    <w:p>
      <w:pPr>
        <w:pStyle w:val="Heading3"/>
      </w:pPr>
      <w:r>
        <w:t>유동성을 어떻게 정의했는가</w:t>
      </w:r>
    </w:p>
    <w:p>
      <w:pPr>
        <w:spacing w:after="160" w:line="320" w:lineRule="auto"/>
      </w:pPr>
      <w:r>
        <w:rPr>
          <w:rFonts w:ascii="맑은 고딕" w:eastAsia="맑은 고딕" w:hAnsi="맑은 고딕"/>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맑은 고딕" w:eastAsia="맑은 고딕" w:hAnsi="맑은 고딕"/>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spacing w:after="160" w:line="320" w:lineRule="auto"/>
      </w:pPr>
      <w:r>
        <w:rPr>
          <w:rFonts w:ascii="맑은 고딕" w:eastAsia="맑은 고딕" w:hAnsi="맑은 고딕"/>
          <w:sz w:val="22"/>
        </w:rPr>
        <w:t>네 신호도 같은 역할을 하지 않는다. 1개월 반전은 직전 한 달 수익률이 낮은 종목을, 6개월 모멘텀은 최근 여섯 달 수익률이 높은 종목을 선택한다. 저변동성은 최근 12개월 월 수익률의 변동성이 낮은 종목을, 소형주는 시가총액이 작은 종목을 고른다. 이 네 가지는 ‘좋아 보이는 팩터 목록’이 아니라, 가격 반전·추세·위험·규모라는 서로 다른 설명이 유동성 제약 앞에서 어떤 방식으로 무너지는지 비교하기 위한 대조군이다.</w:t>
      </w:r>
    </w:p>
    <w:p>
      <w:pPr>
        <w:spacing w:after="160" w:line="320" w:lineRule="auto"/>
      </w:pPr>
      <w:r>
        <w:rPr>
          <w:rFonts w:ascii="맑은 고딕" w:eastAsia="맑은 고딕" w:hAnsi="맑은 고딕"/>
          <w:sz w:val="22"/>
        </w:rPr>
        <w:t>특히 6개월 모멘텀은 이전 한국 주식 프로젝트에서 성과가 좋지 않았던 신호였다. 그 결과를 보고 이번 실험에서 빼 버리면, 나는 유리한 신호만 남긴 채 유동성의 효과를 말하게 된다. 그래서 모멘텀을 다시 넣었다. 좋은 모델을 입증하기 위해서가 아니라, 유동성 기준을 넓혔을 때도 살아남지 못하는 신호가 실제로 있는지 확인하기 위해서다.</w:t>
      </w:r>
    </w:p>
    <w:p>
      <w:pPr>
        <w:spacing w:after="160" w:line="320" w:lineRule="auto"/>
      </w:pPr>
      <w:r>
        <w:rPr>
          <w:rFonts w:ascii="맑은 고딕" w:eastAsia="맑은 고딕" w:hAnsi="맑은 고딕"/>
          <w:sz w:val="22"/>
        </w:rPr>
        <w:t>종목 선택에는 형성 월 종가까지의 정보만 사용했고, 다음 달 수익률은 선택 뒤에만 붙였다. 그렇다고 이 한 문장으로 미래정보 문제가 사라지는 것은 아니다. 수정주가에는 액면분할·배당·상장폐지 같은 사후 사건의 조정이 들어갈 수 있다. 그래서 이후에 재진입 종목과 다음 가격이 비어 있는 종목을 따로 감사했다. 백테스트에서 ‘룩어헤드를 막았다’는 말은 코드 한 줄의 문제가 아니라, 원천 가격이 어떤 사건을 어떤 시점에 반영했는지까지 확인해야 성립한다.</w:t>
      </w:r>
    </w:p>
    <w:p>
      <w:pPr>
        <w:spacing w:after="160" w:line="320" w:lineRule="auto"/>
      </w:pPr>
      <w:r>
        <w:rPr>
          <w:rFonts w:ascii="맑은 고딕" w:eastAsia="맑은 고딕" w:hAnsi="맑은 고딕"/>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spacing w:after="160" w:line="320" w:lineRule="auto"/>
      </w:pPr>
      <w:r>
        <w:rPr>
          <w:rFonts w:ascii="맑은 고딕" w:eastAsia="맑은 고딕" w:hAnsi="맑은 고딕"/>
          <w:sz w:val="22"/>
        </w:rPr>
        <w:t xml:space="preserve">표의 마지막 줄은 거래비용 전체를 0.5~2.0배로 바꿨다는 뜻이 아니다. 매수 또는 매도 한 번의 비용은 </w:t>
      </w:r>
      <w:r>
        <w:rPr>
          <w:rFonts w:ascii="맑은 고딕" w:eastAsia="맑은 고딕" w:hAnsi="맑은 고딕"/>
          <w:b/>
          <w:sz w:val="22"/>
        </w:rPr>
        <w:t>기본 10bp + 시장충격</w:t>
      </w:r>
      <w:r>
        <w:rPr>
          <w:rFonts w:ascii="맑은 고딕" w:eastAsia="맑은 고딕" w:hAnsi="맑은 고딕"/>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맑은 고딕" w:eastAsia="맑은 고딕" w:hAnsi="맑은 고딕"/>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spacing w:after="160" w:line="320" w:lineRule="auto"/>
      </w:pPr>
      <w:r>
        <w:rPr>
          <w:rFonts w:ascii="맑은 고딕" w:eastAsia="맑은 고딕" w:hAnsi="맑은 고딕"/>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맑은 고딕" w:eastAsia="맑은 고딕" w:hAnsi="맑은 고딕"/>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spacing w:after="160" w:line="320" w:lineRule="auto"/>
      </w:pPr>
      <w:r>
        <w:rPr>
          <w:rFonts w:ascii="맑은 고딕" w:eastAsia="맑은 고딕" w:hAnsi="맑은 고딕"/>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w="0" w:type="auto"/>
        <w:tblLook w:val="04A0" w:firstRow="1" w:lastRow="0" w:firstColumn="1" w:lastColumn="0" w:noHBand="0" w:noVBand="1"/>
        <w:jc w:val="center"/>
        <w:tblLayout w:type="fixed"/>
      </w:tblPr>
      <w:tblGrid>
        <w:gridCol w:w="1337"/>
        <w:gridCol w:w="1337"/>
        <w:gridCol w:w="1337"/>
        <w:gridCol w:w="1337"/>
        <w:gridCol w:w="1337"/>
        <w:gridCol w:w="1337"/>
        <w:gridCol w:w="1337"/>
      </w:tblGrid>
      <w:tr>
        <w:tc>
          <w:tcPr>
            <w:tcW w:w="1265" w:type="dxa"/>
            <w:shd w:val="clear" w:color="auto" w:fill="F2F4F7"/>
            <w:tcMar>
              <w:top w:w="80" w:type="dxa"/>
              <w:bottom w:w="80" w:type="dxa"/>
            </w:tcMar>
            <w:vAlign w:val="center"/>
          </w:tcPr>
          <w:p>
            <w:pPr>
              <w:jc w:val="left"/>
              <w:spacing w:after="0"/>
            </w:pPr>
            <w:r>
              <w:rPr>
                <w:rFonts w:ascii="맑은 고딕" w:eastAsia="맑은 고딕" w:hAnsi="맑은 고딕"/>
                <w:b/>
                <w:sz w:val="20"/>
              </w:rPr>
              <w:t>종목당 최대 참여율</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안정적인 조합 수</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저변동성</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소형주</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1억 원</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10억 원</w:t>
            </w:r>
          </w:p>
        </w:tc>
        <w:tc>
          <w:tcPr>
            <w:tcW w:w="1265" w:type="dxa"/>
            <w:shd w:val="clear" w:color="auto" w:fill="F2F4F7"/>
            <w:tcMar>
              <w:top w:w="80" w:type="dxa"/>
              <w:bottom w:w="80" w:type="dxa"/>
            </w:tcMar>
            <w:vAlign w:val="center"/>
          </w:tcPr>
          <w:p>
            <w:pPr>
              <w:jc w:val="center"/>
              <w:spacing w:after="0"/>
            </w:pPr>
            <w:r>
              <w:rPr>
                <w:rFonts w:ascii="맑은 고딕" w:eastAsia="맑은 고딕" w:hAnsi="맑은 고딕"/>
                <w:b/>
                <w:sz w:val="20"/>
              </w:rPr>
              <w:t>100억 원</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2.5%</w:t>
            </w:r>
          </w:p>
        </w:tc>
        <w:tc>
          <w:tcPr>
            <w:tcW w:w="1265" w:type="dxa"/>
            <w:tcMar>
              <w:top w:w="80" w:type="dxa"/>
              <w:bottom w:w="80" w:type="dxa"/>
            </w:tcMar>
            <w:vAlign w:val="center"/>
          </w:tcPr>
          <w:p>
            <w:pPr>
              <w:jc w:val="center"/>
              <w:spacing w:after="0"/>
            </w:pPr>
            <w:r>
              <w:rPr>
                <w:rFonts w:ascii="맑은 고딕" w:eastAsia="맑은 고딕" w:hAnsi="맑은 고딕"/>
                <w:b w:val="0"/>
                <w:sz w:val="20"/>
              </w:rPr>
              <w:t>53</w:t>
            </w:r>
          </w:p>
        </w:tc>
        <w:tc>
          <w:tcPr>
            <w:tcW w:w="1265" w:type="dxa"/>
            <w:tcMar>
              <w:top w:w="80" w:type="dxa"/>
              <w:bottom w:w="80" w:type="dxa"/>
            </w:tcMar>
            <w:vAlign w:val="center"/>
          </w:tcPr>
          <w:p>
            <w:pPr>
              <w:jc w:val="center"/>
              <w:spacing w:after="0"/>
            </w:pPr>
            <w:r>
              <w:rPr>
                <w:rFonts w:ascii="맑은 고딕" w:eastAsia="맑은 고딕" w:hAnsi="맑은 고딕"/>
                <w:b w:val="0"/>
                <w:sz w:val="20"/>
              </w:rPr>
              <w:t>40</w:t>
            </w:r>
          </w:p>
        </w:tc>
        <w:tc>
          <w:tcPr>
            <w:tcW w:w="1265" w:type="dxa"/>
            <w:tcMar>
              <w:top w:w="80" w:type="dxa"/>
              <w:bottom w:w="80" w:type="dxa"/>
            </w:tcMar>
            <w:vAlign w:val="center"/>
          </w:tcPr>
          <w:p>
            <w:pPr>
              <w:jc w:val="center"/>
              <w:spacing w:after="0"/>
            </w:pPr>
            <w:r>
              <w:rPr>
                <w:rFonts w:ascii="맑은 고딕" w:eastAsia="맑은 고딕" w:hAnsi="맑은 고딕"/>
                <w:b w:val="0"/>
                <w:sz w:val="20"/>
              </w:rPr>
              <w:t>13</w:t>
            </w:r>
          </w:p>
        </w:tc>
        <w:tc>
          <w:tcPr>
            <w:tcW w:w="1265" w:type="dxa"/>
            <w:tcMar>
              <w:top w:w="80" w:type="dxa"/>
              <w:bottom w:w="80" w:type="dxa"/>
            </w:tcMar>
            <w:vAlign w:val="center"/>
          </w:tcPr>
          <w:p>
            <w:pPr>
              <w:jc w:val="center"/>
              <w:spacing w:after="0"/>
            </w:pPr>
            <w:r>
              <w:rPr>
                <w:rFonts w:ascii="맑은 고딕" w:eastAsia="맑은 고딕" w:hAnsi="맑은 고딕"/>
                <w:b w:val="0"/>
                <w:sz w:val="20"/>
              </w:rPr>
              <w:t>50</w:t>
            </w:r>
          </w:p>
        </w:tc>
        <w:tc>
          <w:tcPr>
            <w:tcW w:w="1265" w:type="dxa"/>
            <w:tcMar>
              <w:top w:w="80" w:type="dxa"/>
              <w:bottom w:w="80" w:type="dxa"/>
            </w:tcMar>
            <w:vAlign w:val="center"/>
          </w:tcPr>
          <w:p>
            <w:pPr>
              <w:jc w:val="center"/>
              <w:spacing w:after="0"/>
            </w:pPr>
            <w:r>
              <w:rPr>
                <w:rFonts w:ascii="맑은 고딕" w:eastAsia="맑은 고딕" w:hAnsi="맑은 고딕"/>
                <w:b w:val="0"/>
                <w:sz w:val="20"/>
              </w:rPr>
              <w:t>3</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5.0%</w:t>
            </w:r>
          </w:p>
        </w:tc>
        <w:tc>
          <w:tcPr>
            <w:tcW w:w="1265" w:type="dxa"/>
            <w:tcMar>
              <w:top w:w="80" w:type="dxa"/>
              <w:bottom w:w="80" w:type="dxa"/>
            </w:tcMar>
            <w:vAlign w:val="center"/>
          </w:tcPr>
          <w:p>
            <w:pPr>
              <w:jc w:val="center"/>
              <w:spacing w:after="0"/>
            </w:pPr>
            <w:r>
              <w:rPr>
                <w:rFonts w:ascii="맑은 고딕" w:eastAsia="맑은 고딕" w:hAnsi="맑은 고딕"/>
                <w:b w:val="0"/>
                <w:sz w:val="20"/>
              </w:rPr>
              <w:t>64</w:t>
            </w:r>
          </w:p>
        </w:tc>
        <w:tc>
          <w:tcPr>
            <w:tcW w:w="1265" w:type="dxa"/>
            <w:tcMar>
              <w:top w:w="80" w:type="dxa"/>
              <w:bottom w:w="80" w:type="dxa"/>
            </w:tcMar>
            <w:vAlign w:val="center"/>
          </w:tcPr>
          <w:p>
            <w:pPr>
              <w:jc w:val="center"/>
              <w:spacing w:after="0"/>
            </w:pPr>
            <w:r>
              <w:rPr>
                <w:rFonts w:ascii="맑은 고딕" w:eastAsia="맑은 고딕" w:hAnsi="맑은 고딕"/>
                <w:b w:val="0"/>
                <w:sz w:val="20"/>
              </w:rPr>
              <w:t>52</w:t>
            </w:r>
          </w:p>
        </w:tc>
        <w:tc>
          <w:tcPr>
            <w:tcW w:w="1265" w:type="dxa"/>
            <w:tcMar>
              <w:top w:w="80" w:type="dxa"/>
              <w:bottom w:w="80" w:type="dxa"/>
            </w:tcMar>
            <w:vAlign w:val="center"/>
          </w:tcPr>
          <w:p>
            <w:pPr>
              <w:jc w:val="center"/>
              <w:spacing w:after="0"/>
            </w:pPr>
            <w:r>
              <w:rPr>
                <w:rFonts w:ascii="맑은 고딕" w:eastAsia="맑은 고딕" w:hAnsi="맑은 고딕"/>
                <w:b w:val="0"/>
                <w:sz w:val="20"/>
              </w:rPr>
              <w:t>12</w:t>
            </w:r>
          </w:p>
        </w:tc>
        <w:tc>
          <w:tcPr>
            <w:tcW w:w="1265" w:type="dxa"/>
            <w:tcMar>
              <w:top w:w="80" w:type="dxa"/>
              <w:bottom w:w="80" w:type="dxa"/>
            </w:tcMar>
            <w:vAlign w:val="center"/>
          </w:tcPr>
          <w:p>
            <w:pPr>
              <w:jc w:val="center"/>
              <w:spacing w:after="0"/>
            </w:pPr>
            <w:r>
              <w:rPr>
                <w:rFonts w:ascii="맑은 고딕" w:eastAsia="맑은 고딕" w:hAnsi="맑은 고딕"/>
                <w:b w:val="0"/>
                <w:sz w:val="20"/>
              </w:rPr>
              <w:t>56</w:t>
            </w:r>
          </w:p>
        </w:tc>
        <w:tc>
          <w:tcPr>
            <w:tcW w:w="1265" w:type="dxa"/>
            <w:tcMar>
              <w:top w:w="80" w:type="dxa"/>
              <w:bottom w:w="80" w:type="dxa"/>
            </w:tcMar>
            <w:vAlign w:val="center"/>
          </w:tcPr>
          <w:p>
            <w:pPr>
              <w:jc w:val="center"/>
              <w:spacing w:after="0"/>
            </w:pPr>
            <w:r>
              <w:rPr>
                <w:rFonts w:ascii="맑은 고딕" w:eastAsia="맑은 고딕" w:hAnsi="맑은 고딕"/>
                <w:b w:val="0"/>
                <w:sz w:val="20"/>
              </w:rPr>
              <w:t>8</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r>
        <w:tc>
          <w:tcPr>
            <w:tcW w:w="1265" w:type="dxa"/>
            <w:tcMar>
              <w:top w:w="80" w:type="dxa"/>
              <w:bottom w:w="80" w:type="dxa"/>
            </w:tcMar>
            <w:vAlign w:val="center"/>
          </w:tcPr>
          <w:p>
            <w:pPr>
              <w:jc w:val="left"/>
              <w:spacing w:after="0"/>
            </w:pPr>
            <w:r>
              <w:rPr>
                <w:rFonts w:ascii="맑은 고딕" w:eastAsia="맑은 고딕" w:hAnsi="맑은 고딕"/>
                <w:b w:val="0"/>
                <w:sz w:val="20"/>
              </w:rPr>
              <w:t>21일 평균 거래대금의 10.0%</w:t>
            </w:r>
          </w:p>
        </w:tc>
        <w:tc>
          <w:tcPr>
            <w:tcW w:w="1265" w:type="dxa"/>
            <w:tcMar>
              <w:top w:w="80" w:type="dxa"/>
              <w:bottom w:w="80" w:type="dxa"/>
            </w:tcMar>
            <w:vAlign w:val="center"/>
          </w:tcPr>
          <w:p>
            <w:pPr>
              <w:jc w:val="center"/>
              <w:spacing w:after="0"/>
            </w:pPr>
            <w:r>
              <w:rPr>
                <w:rFonts w:ascii="맑은 고딕" w:eastAsia="맑은 고딕" w:hAnsi="맑은 고딕"/>
                <w:b w:val="0"/>
                <w:sz w:val="20"/>
              </w:rPr>
              <w:t>75</w:t>
            </w:r>
          </w:p>
        </w:tc>
        <w:tc>
          <w:tcPr>
            <w:tcW w:w="1265" w:type="dxa"/>
            <w:tcMar>
              <w:top w:w="80" w:type="dxa"/>
              <w:bottom w:w="80" w:type="dxa"/>
            </w:tcMar>
            <w:vAlign w:val="center"/>
          </w:tcPr>
          <w:p>
            <w:pPr>
              <w:jc w:val="center"/>
              <w:spacing w:after="0"/>
            </w:pPr>
            <w:r>
              <w:rPr>
                <w:rFonts w:ascii="맑은 고딕" w:eastAsia="맑은 고딕" w:hAnsi="맑은 고딕"/>
                <w:b w:val="0"/>
                <w:sz w:val="20"/>
              </w:rPr>
              <w:t>55</w:t>
            </w:r>
          </w:p>
        </w:tc>
        <w:tc>
          <w:tcPr>
            <w:tcW w:w="1265" w:type="dxa"/>
            <w:tcMar>
              <w:top w:w="80" w:type="dxa"/>
              <w:bottom w:w="80" w:type="dxa"/>
            </w:tcMar>
            <w:vAlign w:val="center"/>
          </w:tcPr>
          <w:p>
            <w:pPr>
              <w:jc w:val="center"/>
              <w:spacing w:after="0"/>
            </w:pPr>
            <w:r>
              <w:rPr>
                <w:rFonts w:ascii="맑은 고딕" w:eastAsia="맑은 고딕" w:hAnsi="맑은 고딕"/>
                <w:b w:val="0"/>
                <w:sz w:val="20"/>
              </w:rPr>
              <w:t>20</w:t>
            </w:r>
          </w:p>
        </w:tc>
        <w:tc>
          <w:tcPr>
            <w:tcW w:w="1265" w:type="dxa"/>
            <w:tcMar>
              <w:top w:w="80" w:type="dxa"/>
              <w:bottom w:w="80" w:type="dxa"/>
            </w:tcMar>
            <w:vAlign w:val="center"/>
          </w:tcPr>
          <w:p>
            <w:pPr>
              <w:jc w:val="center"/>
              <w:spacing w:after="0"/>
            </w:pPr>
            <w:r>
              <w:rPr>
                <w:rFonts w:ascii="맑은 고딕" w:eastAsia="맑은 고딕" w:hAnsi="맑은 고딕"/>
                <w:b w:val="0"/>
                <w:sz w:val="20"/>
              </w:rPr>
              <w:t>60</w:t>
            </w:r>
          </w:p>
        </w:tc>
        <w:tc>
          <w:tcPr>
            <w:tcW w:w="1265" w:type="dxa"/>
            <w:tcMar>
              <w:top w:w="80" w:type="dxa"/>
              <w:bottom w:w="80" w:type="dxa"/>
            </w:tcMar>
            <w:vAlign w:val="center"/>
          </w:tcPr>
          <w:p>
            <w:pPr>
              <w:jc w:val="center"/>
              <w:spacing w:after="0"/>
            </w:pPr>
            <w:r>
              <w:rPr>
                <w:rFonts w:ascii="맑은 고딕" w:eastAsia="맑은 고딕" w:hAnsi="맑은 고딕"/>
                <w:b w:val="0"/>
                <w:sz w:val="20"/>
              </w:rPr>
              <w:t>15</w:t>
            </w:r>
          </w:p>
        </w:tc>
        <w:tc>
          <w:tcPr>
            <w:tcW w:w="1265" w:type="dxa"/>
            <w:tcMar>
              <w:top w:w="80" w:type="dxa"/>
              <w:bottom w:w="80" w:type="dxa"/>
            </w:tcMar>
            <w:vAlign w:val="center"/>
          </w:tcPr>
          <w:p>
            <w:pPr>
              <w:jc w:val="center"/>
              <w:spacing w:after="0"/>
            </w:pPr>
            <w:r>
              <w:rPr>
                <w:rFonts w:ascii="맑은 고딕" w:eastAsia="맑은 고딕" w:hAnsi="맑은 고딕"/>
                <w:b w:val="0"/>
                <w:sz w:val="20"/>
              </w:rPr>
              <w:t>0</w:t>
            </w:r>
          </w:p>
        </w:tc>
      </w:tr>
    </w:tbl>
    <w:p>
      <w:pPr>
        <w:spacing w:after="0"/>
      </w:pPr>
    </w:p>
    <w:p>
      <w:pPr>
        <w:keepNext/>
        <w:jc w:val="center"/>
        <w:spacing w:after="60" w:before="120"/>
      </w:pPr>
      <w:r>
        <w:drawing>
          <wp:inline distT="0" distB="0" distL="180" distR="180">
            <wp:extent cx="5577840" cy="3904488"/>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577840" cy="3904488"/>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1. 유동성·비용 조건별로 살아남은 전략 조합</w:t>
      </w:r>
    </w:p>
    <w:p>
      <w:pPr>
        <w:spacing w:after="160" w:line="320" w:lineRule="auto"/>
      </w:pPr>
      <w:r>
        <w:rPr>
          <w:rFonts w:ascii="맑은 고딕" w:eastAsia="맑은 고딕" w:hAnsi="맑은 고딕"/>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맑은 고딕" w:eastAsia="맑은 고딕" w:hAnsi="맑은 고딕"/>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맑은 고딕" w:eastAsia="맑은 고딕" w:hAnsi="맑은 고딕"/>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spacing w:after="160" w:line="320" w:lineRule="auto"/>
      </w:pPr>
      <w:r>
        <w:rPr>
          <w:rFonts w:ascii="맑은 고딕" w:eastAsia="맑은 고딕" w:hAnsi="맑은 고딕"/>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맑은 고딕" w:eastAsia="맑은 고딕" w:hAnsi="맑은 고딕"/>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맑은 고딕" w:eastAsia="맑은 고딕" w:hAnsi="맑은 고딕"/>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spacing w:after="160" w:line="320" w:lineRule="auto"/>
      </w:pPr>
      <w:r>
        <w:rPr>
          <w:rFonts w:ascii="맑은 고딕" w:eastAsia="맑은 고딕" w:hAnsi="맑은 고딕"/>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jc w:val="center"/>
        <w:spacing w:after="60" w:before="120"/>
      </w:pPr>
      <w:r>
        <w:drawing>
          <wp:inline distT="0" distB="0" distL="180" distR="180">
            <wp:extent cx="5577840" cy="3021330"/>
            <wp:effectExtent l="0" t="0" r="0" b="0"/>
            <wp:docPr id="10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577840" cy="3021330"/>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2. 종목당 최대 참여율 가정에 따른 안정적인 조합 수</w:t>
      </w:r>
    </w:p>
    <w:p>
      <w:pPr>
        <w:spacing w:after="160" w:line="320" w:lineRule="auto"/>
      </w:pPr>
      <w:r>
        <w:rPr>
          <w:rFonts w:ascii="맑은 고딕" w:eastAsia="맑은 고딕" w:hAnsi="맑은 고딕"/>
          <w:sz w:val="22"/>
        </w:rPr>
        <w:t>이 그림은 수익률을 보여 주는 표가 아니다. 각 칸은 유동성 비율과 시장충격 가정을 고정한 뒤, 남는 12개 조합을 세는 표다. 12개는 보유 종목 수 10·20·30·50개와 운용 규모 1억·10억·100억 원을 교차한 수다. 따라서 칸의 `5/12`는 종목이 5개라는 뜻도, 수익률이 5%라는 뜻도 아니다. 그 조건 아래 12개 전략 후보 중 네 기준을 모두 통과한 후보가 5개라는 뜻이다.</w:t>
      </w:r>
    </w:p>
    <w:p>
      <w:pPr>
        <w:spacing w:after="160" w:line="320" w:lineRule="auto"/>
      </w:pPr>
      <w:r>
        <w:rPr>
          <w:rFonts w:ascii="맑은 고딕" w:eastAsia="맑은 고딕" w:hAnsi="맑은 고딕"/>
          <w:sz w:val="22"/>
        </w:rPr>
        <w:t>예를 들어 저변동성 패널의 ‘유동성 상위 70%·충격 1.0배’ 칸은 5/12다. 비용을 한 번 가정한 뒤 보유 종목 수와 운용 규모를 달리한 12개 후보 중 다섯 개가 양의 비용 차감 CAGR, t-통계량 1.96, MDD -60%, 평균 체결률 80%를 동시에 통과했다. 반대로 빈 칸은 0/12다. 어느 하나의 후보도 네 기준을 함께 통과하지 못했다는 뜻이다.</w:t>
      </w:r>
    </w:p>
    <w:p>
      <w:pPr>
        <w:spacing w:after="160" w:line="320" w:lineRule="auto"/>
      </w:pPr>
      <w:r>
        <w:rPr>
          <w:rFonts w:ascii="맑은 고딕" w:eastAsia="맑은 고딕" w:hAnsi="맑은 고딕"/>
          <w:sz w:val="22"/>
        </w:rPr>
        <w:t>그래프에서 읽어야 할 것은 색의 진함이나 가장 큰 숫자가 아니다. 1개월 반전과 6개월 모멘텀은 모든 칸이 0/12다. 저변동성은 유동성 상위 60~90%에서만 통과 조합이 남고, 소형주는 상위 80~90%에서만 남는다. 즉 유동성 컷을 넓히면 모든 신호가 좋아지는 것이 아니라, 신호마다 실행 가능한 범위가 다르게 나타난다.</w:t>
      </w:r>
    </w:p>
    <w:p>
      <w:pPr>
        <w:pStyle w:val="Heading2"/>
      </w:pPr>
      <w:r>
        <w:t>결과: 높은 수익률보다 넓은 생존 구간</w:t>
      </w:r>
    </w:p>
    <w:p>
      <w:pPr>
        <w:spacing w:after="160" w:line="320" w:lineRule="auto"/>
      </w:pPr>
      <w:r>
        <w:rPr>
          <w:rFonts w:ascii="맑은 고딕" w:eastAsia="맑은 고딕" w:hAnsi="맑은 고딕"/>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맑은 고딕" w:eastAsia="맑은 고딕" w:hAnsi="맑은 고딕"/>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맑은 고딕" w:eastAsia="맑은 고딕" w:hAnsi="맑은 고딕"/>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맑은 고딕" w:eastAsia="맑은 고딕" w:hAnsi="맑은 고딕"/>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맑은 고딕" w:eastAsia="맑은 고딕" w:hAnsi="맑은 고딕"/>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맑은 고딕" w:eastAsia="맑은 고딕" w:hAnsi="맑은 고딕"/>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맑은 고딕" w:eastAsia="맑은 고딕" w:hAnsi="맑은 고딕"/>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맑은 고딕" w:eastAsia="맑은 고딕" w:hAnsi="맑은 고딕"/>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맑은 고딕" w:eastAsia="맑은 고딕" w:hAnsi="맑은 고딕"/>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keepNext/>
        <w:jc w:val="center"/>
        <w:spacing w:after="60" w:before="120"/>
      </w:pPr>
      <w:r>
        <w:drawing>
          <wp:inline distT="0" distB="0" distL="180" distR="180">
            <wp:extent cx="5577840" cy="2602992"/>
            <wp:effectExtent l="0" t="0" r="0" b="0"/>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577840" cy="2602992"/>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3. 다중검정 보정 뒤의 의사결정 경계</w:t>
      </w:r>
    </w:p>
    <w:p>
      <w:pPr>
        <w:spacing w:after="160" w:line="320" w:lineRule="auto"/>
      </w:pPr>
      <w:r>
        <w:rPr>
          <w:rFonts w:ascii="맑은 고딕" w:eastAsia="맑은 고딕" w:hAnsi="맑은 고딕"/>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맑은 고딕" w:eastAsia="맑은 고딕" w:hAnsi="맑은 고딕"/>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맑은 고딕" w:eastAsia="맑은 고딕" w:hAnsi="맑은 고딕"/>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w="0" w:type="auto"/>
        <w:tblLook w:val="04A0" w:firstRow="1" w:lastRow="0" w:firstColumn="1" w:lastColumn="0" w:noHBand="0" w:noVBand="1"/>
        <w:jc w:val="center"/>
        <w:tblLayout w:type="fixed"/>
      </w:tblPr>
      <w:tblGrid>
        <w:gridCol w:w="2340"/>
        <w:gridCol w:w="2340"/>
        <w:gridCol w:w="2340"/>
        <w:gridCol w:w="2340"/>
      </w:tblGrid>
      <w:tr>
        <w:tc>
          <w:tcPr>
            <w:tcW w:w="1800" w:type="dxa"/>
            <w:shd w:val="clear" w:color="auto" w:fill="F2F4F7"/>
            <w:tcMar>
              <w:top w:w="80" w:type="dxa"/>
              <w:bottom w:w="80" w:type="dxa"/>
            </w:tcMar>
            <w:vAlign w:val="center"/>
          </w:tcPr>
          <w:p>
            <w:pPr>
              <w:jc w:val="left"/>
              <w:spacing w:after="0"/>
            </w:pPr>
            <w:r>
              <w:rPr>
                <w:rFonts w:ascii="맑은 고딕" w:eastAsia="맑은 고딕" w:hAnsi="맑은 고딕"/>
                <w:b/>
                <w:sz w:val="20"/>
              </w:rPr>
              <w:t>선택 구간</w:t>
            </w:r>
          </w:p>
        </w:tc>
        <w:tc>
          <w:tcPr>
            <w:tcW w:w="1008"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구간</w:t>
            </w:r>
          </w:p>
        </w:tc>
        <w:tc>
          <w:tcPr>
            <w:tcW w:w="2880"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t-통계량</w:t>
            </w:r>
          </w:p>
        </w:tc>
        <w:tc>
          <w:tcPr>
            <w:tcW w:w="3096" w:type="dxa"/>
            <w:shd w:val="clear" w:color="auto" w:fill="F2F4F7"/>
            <w:tcMar>
              <w:top w:w="80" w:type="dxa"/>
              <w:bottom w:w="80" w:type="dxa"/>
            </w:tcMar>
            <w:vAlign w:val="center"/>
          </w:tcPr>
          <w:p>
            <w:pPr>
              <w:jc w:val="center"/>
              <w:spacing w:after="0"/>
            </w:pPr>
            <w:r>
              <w:rPr>
                <w:rFonts w:ascii="맑은 고딕" w:eastAsia="맑은 고딕" w:hAnsi="맑은 고딕"/>
                <w:b/>
                <w:sz w:val="20"/>
              </w:rPr>
              <w:t>검증 CAGR</w:t>
            </w:r>
          </w:p>
        </w:tc>
      </w:tr>
      <w:tr>
        <w:tc>
          <w:tcPr>
            <w:tcW w:w="1800" w:type="dxa"/>
            <w:tcMar>
              <w:top w:w="80" w:type="dxa"/>
              <w:bottom w:w="80" w:type="dxa"/>
            </w:tcMar>
            <w:vAlign w:val="center"/>
          </w:tcPr>
          <w:p>
            <w:pPr>
              <w:jc w:val="left"/>
              <w:spacing w:after="0"/>
            </w:pPr>
            <w:r>
              <w:rPr>
                <w:rFonts w:ascii="맑은 고딕" w:eastAsia="맑은 고딕" w:hAnsi="맑은 고딕"/>
                <w:b w:val="0"/>
                <w:sz w:val="20"/>
              </w:rPr>
              <w:t>2000.08~2013.12</w:t>
            </w:r>
          </w:p>
        </w:tc>
        <w:tc>
          <w:tcPr>
            <w:tcW w:w="1008" w:type="dxa"/>
            <w:tcMar>
              <w:top w:w="80" w:type="dxa"/>
              <w:bottom w:w="80" w:type="dxa"/>
            </w:tcMar>
            <w:vAlign w:val="center"/>
          </w:tcPr>
          <w:p>
            <w:pPr>
              <w:jc w:val="center"/>
              <w:spacing w:after="0"/>
            </w:pPr>
            <w:r>
              <w:rPr>
                <w:rFonts w:ascii="맑은 고딕" w:eastAsia="맑은 고딕" w:hAnsi="맑은 고딕"/>
                <w:b w:val="0"/>
                <w:sz w:val="20"/>
              </w:rPr>
              <w:t>2014.01~2026.05</w:t>
            </w:r>
          </w:p>
        </w:tc>
        <w:tc>
          <w:tcPr>
            <w:tcW w:w="2880" w:type="dxa"/>
            <w:tcMar>
              <w:top w:w="80" w:type="dxa"/>
              <w:bottom w:w="80" w:type="dxa"/>
            </w:tcMar>
            <w:vAlign w:val="center"/>
          </w:tcPr>
          <w:p>
            <w:pPr>
              <w:jc w:val="center"/>
              <w:spacing w:after="0"/>
            </w:pPr>
            <w:r>
              <w:rPr>
                <w:rFonts w:ascii="맑은 고딕" w:eastAsia="맑은 고딕" w:hAnsi="맑은 고딕"/>
                <w:b w:val="0"/>
                <w:sz w:val="20"/>
              </w:rPr>
              <w:t>5.54</w:t>
            </w:r>
          </w:p>
        </w:tc>
        <w:tc>
          <w:tcPr>
            <w:tcW w:w="3096" w:type="dxa"/>
            <w:tcMar>
              <w:top w:w="80" w:type="dxa"/>
              <w:bottom w:w="80" w:type="dxa"/>
            </w:tcMar>
            <w:vAlign w:val="center"/>
          </w:tcPr>
          <w:p>
            <w:pPr>
              <w:jc w:val="center"/>
              <w:spacing w:after="0"/>
            </w:pPr>
            <w:r>
              <w:rPr>
                <w:rFonts w:ascii="맑은 고딕" w:eastAsia="맑은 고딕" w:hAnsi="맑은 고딕"/>
                <w:b w:val="0"/>
                <w:sz w:val="20"/>
              </w:rPr>
              <w:t>43.9%</w:t>
            </w:r>
          </w:p>
        </w:tc>
      </w:tr>
    </w:tbl>
    <w:p>
      <w:pPr>
        <w:spacing w:after="0"/>
      </w:pPr>
    </w:p>
    <w:p>
      <w:pPr>
        <w:spacing w:after="160" w:line="320" w:lineRule="auto"/>
      </w:pPr>
      <w:r>
        <w:rPr>
          <w:rFonts w:ascii="맑은 고딕" w:eastAsia="맑은 고딕" w:hAnsi="맑은 고딕"/>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맑은 고딕" w:eastAsia="맑은 고딕" w:hAnsi="맑은 고딕"/>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맑은 고딕" w:eastAsia="맑은 고딕" w:hAnsi="맑은 고딕"/>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맑은 고딕" w:eastAsia="맑은 고딕" w:hAnsi="맑은 고딕"/>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keepNext/>
        <w:jc w:val="center"/>
        <w:spacing w:after="60" w:before="120"/>
      </w:pPr>
      <w:r>
        <w:drawing>
          <wp:inline distT="0" distB="0" distL="180" distR="180">
            <wp:extent cx="5577840" cy="2602992"/>
            <wp:effectExtent l="0" t="0" r="0" b="0"/>
            <wp:docPr id="1029" name="Picture 5"/>
            <wp:cNvGraphicFramePr/>
            <a:graphic xmlns:a="http://schemas.openxmlformats.org/drawingml/2006/main">
              <a:graphicData uri="http://schemas.openxmlformats.org/drawingml/2006/picture">
                <pic:pic xmlns:pic="http://schemas.openxmlformats.org/drawingml/2006/picture">
                  <pic:nvPicPr>
                    <pic:cNvPr id="1029" name="Picture 5"/>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5577840" cy="2602992"/>
                    </a:xfrm>
                    <a:prstGeom prst="rect">
                      <a:avLst/>
                    </a:prstGeom>
                  </pic:spPr>
                </pic:pic>
              </a:graphicData>
            </a:graphic>
          </wp:inline>
        </w:drawing>
      </w:r>
    </w:p>
    <w:p>
      <w:pPr>
        <w:pStyle w:val="FigureCaption"/>
        <w:jc w:val="center"/>
      </w:pPr>
      <w:r>
        <w:rPr>
          <w:rFonts w:ascii="맑은 고딕" w:eastAsia="맑은 고딕" w:hAnsi="맑은 고딕"/>
          <w:color w:val="595959"/>
          <w:sz w:val="18"/>
        </w:rPr>
        <w:t>그림 4. 거래정지 편입 제외 뒤 소형주 전략 성과</w:t>
      </w:r>
    </w:p>
    <w:p>
      <w:pPr>
        <w:spacing w:after="160" w:line="320" w:lineRule="auto"/>
      </w:pPr>
      <w:r>
        <w:rPr>
          <w:rFonts w:ascii="맑은 고딕" w:eastAsia="맑은 고딕" w:hAnsi="맑은 고딕"/>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맑은 고딕" w:eastAsia="맑은 고딕" w:hAnsi="맑은 고딕"/>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맑은 고딕" w:eastAsia="맑은 고딕" w:hAnsi="맑은 고딕"/>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맑은 고딕" w:eastAsia="맑은 고딕" w:hAnsi="맑은 고딕"/>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맑은 고딕" w:eastAsia="맑은 고딕" w:hAnsi="맑은 고딕"/>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맑은 고딕" w:eastAsia="맑은 고딕" w:hAnsi="맑은 고딕"/>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맑은 고딕" w:eastAsia="맑은 고딕" w:hAnsi="맑은 고딕"/>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맑은 고딕" w:eastAsia="맑은 고딕" w:hAnsi="맑은 고딕"/>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맑은 고딕" w:eastAsia="맑은 고딕" w:hAnsi="맑은 고딕"/>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맑은 고딕" w:eastAsia="맑은 고딕" w:hAnsi="맑은 고딕"/>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맑은 고딕" w:eastAsia="맑은 고딕" w:hAnsi="맑은 고딕"/>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이 글이 아직 투자 권유가 아닌 이유</w:t>
      </w:r>
    </w:p>
    <w:p>
      <w:pPr>
        <w:spacing w:after="160" w:line="320" w:lineRule="auto"/>
      </w:pPr>
      <w:r>
        <w:rPr>
          <w:rFonts w:ascii="맑은 고딕" w:eastAsia="맑은 고딕" w:hAnsi="맑은 고딕"/>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맑은 고딕" w:eastAsia="맑은 고딕" w:hAnsi="맑은 고딕"/>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맑은 고딕" w:eastAsia="맑은 고딕" w:hAnsi="맑은 고딕"/>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w="0" w:type="auto"/>
        <w:tblLook w:val="04A0" w:firstRow="1" w:lastRow="0" w:firstColumn="1" w:lastColumn="0" w:noHBand="0" w:noVBand="1"/>
        <w:jc w:val="center"/>
        <w:tblLayout w:type="fixed"/>
      </w:tblPr>
      <w:tblGrid>
        <w:gridCol w:w="9360"/>
      </w:tblGrid>
      <w:tr>
        <w:tc>
          <w:tcPr>
            <w:tcW w:w="9072" w:type="dxa"/>
            <w:shd w:val="clear" w:color="auto" w:fill="F4F6F9"/>
            <w:tcMar>
              <w:top w:w="110" w:type="dxa"/>
              <w:bottom w:w="110" w:type="dxa"/>
            </w:tcMar>
            <w:vAlign w:val="center"/>
          </w:tcPr>
          <w:p>
            <w:pPr>
              <w:spacing w:after="0" w:line="288" w:lineRule="auto"/>
            </w:pPr>
            <w:r>
              <w:rPr>
                <w:rFonts w:ascii="맑은 고딕" w:eastAsia="맑은 고딕" w:hAnsi="맑은 고딕"/>
                <w:b/>
                <w:color w:val="1F3A5F"/>
                <w:sz w:val="21"/>
              </w:rPr>
              <w:t>아직 투자 전략이 아닌 이유</w:t>
            </w:r>
            <w:r>
              <w:rPr>
                <w:rFonts w:ascii="맑은 고딕" w:eastAsia="맑은 고딕" w:hAnsi="맑은 고딕"/>
                <w:b/>
                <w:color w:val="1F3A5F"/>
                <w:sz w:val="21"/>
              </w:rPr>
              <w:br/>
            </w:r>
            <w:r>
              <w:rPr>
                <w:rFonts w:ascii="맑은 고딕" w:eastAsia="맑은 고딕" w:hAnsi="맑은 고딕"/>
                <w:b/>
                <w:color w:val="1F3A5F"/>
                <w:sz w:val="21"/>
              </w:rP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맑은 고딕" w:eastAsia="맑은 고딕" w:hAnsi="맑은 고딕"/>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맑은 고딕" w:eastAsia="맑은 고딕" w:hAnsi="맑은 고딕"/>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맑은 고딕" w:eastAsia="맑은 고딕" w:hAnsi="맑은 고딕"/>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맑은 고딕" w:eastAsia="맑은 고딕" w:hAnsi="맑은 고딕"/>
          <w:color w:val="373737"/>
          <w:sz w:val="19"/>
        </w:rPr>
        <w:t>실험 설계와 체결 모형: https://github.com/Rowoon-Lee5/metric_studio_by_moon/blob/main/experiments/alpha_topology.py</w:t>
      </w:r>
    </w:p>
    <w:p>
      <w:pPr>
        <w:pStyle w:val="ListBullet"/>
        <w:spacing w:after="80"/>
      </w:pPr>
      <w:r>
        <w:rPr>
          <w:rFonts w:ascii="맑은 고딕" w:eastAsia="맑은 고딕" w:hAnsi="맑은 고딕"/>
          <w:color w:val="373737"/>
          <w:sz w:val="19"/>
        </w:rPr>
        <w:t>전체 전략 성과표: https://github.com/Rowoon-Lee5/metric_studio_by_moon/blob/main/results/alpha_topology_nodes.csv</w:t>
      </w:r>
    </w:p>
    <w:p>
      <w:pPr>
        <w:pStyle w:val="ListBullet"/>
        <w:spacing w:after="80"/>
      </w:pPr>
      <w:r>
        <w:rPr>
          <w:rFonts w:ascii="맑은 고딕" w:eastAsia="맑은 고딕" w:hAnsi="맑은 고딕"/>
          <w:color w:val="373737"/>
          <w:sz w:val="19"/>
        </w:rPr>
        <w:t>참여율 민감도 실험: https://github.com/Rowoon-Lee5/metric_studio_by_moon/blob/main/experiments/participation_sensitivity.py</w:t>
      </w:r>
    </w:p>
    <w:p>
      <w:pPr>
        <w:pStyle w:val="ListBullet"/>
        <w:spacing w:after="80"/>
      </w:pPr>
      <w:r>
        <w:rPr>
          <w:rFonts w:ascii="맑은 고딕" w:eastAsia="맑은 고딕" w:hAnsi="맑은 고딕"/>
          <w:color w:val="373737"/>
          <w:sz w:val="19"/>
        </w:rPr>
        <w:t>다중검정 보정 결과: https://github.com/Rowoon-Lee5/metric_studio_by_moon/blob/main/results/reality_check_report.json</w:t>
      </w:r>
    </w:p>
    <w:p>
      <w:pPr>
        <w:pStyle w:val="ListBullet"/>
        <w:spacing w:after="80"/>
      </w:pPr>
      <w:r>
        <w:rPr>
          <w:rFonts w:ascii="맑은 고딕" w:eastAsia="맑은 고딕" w:hAnsi="맑은 고딕"/>
          <w:color w:val="373737"/>
          <w:sz w:val="19"/>
        </w:rPr>
        <w:t>종료사건·비용·실행 감사: https://github.com/Rowoon-Lee5/metric_studio_by_moon/blob/main/results/closure_audits_report.json</w:t>
      </w: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60" w:line="320" w:lineRule="auto"/>
    </w:pPr>
    <w:rPr>
      <w:rFonts w:ascii="맑은 고딕" w:eastAsia="맑은 고딕" w:hAnsi="맑은 고딕"/>
      <w:sz w:val="22"/>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360" w:before="0"/>
    </w:pPr>
    <w:rPr>
      <w:rFonts w:asciiTheme="majorHAnsi" w:eastAsiaTheme="majorHAnsi" w:hAnsiTheme="majorHAnsi" w:cstheme="majorEastAsia"/>
      <w:b/>
      <w:bCs/>
      <w:color w:val="2E74B5"/>
      <w:sz w:val="34"/>
      <w:szCs w:val="28"/>
    </w:rPr>
  </w:style>
  <w:style w:type="paragraph" w:styleId="Heading2">
    <w:name w:val="heading 2"/>
    <w:uiPriority w:val="9"/>
    <w:basedOn w:val="Normal"/>
    <w:next w:val="Normal"/>
    <w:link w:val="Heading2Char"/>
    <w:qFormat/>
    <w:unhideWhenUsed/>
    <w:pPr>
      <w:keepNext/>
      <w:keepLines/>
      <w:outlineLvl w:val="1"/>
      <w:spacing w:after="120" w:before="240"/>
    </w:pPr>
    <w:rPr>
      <w:rFonts w:asciiTheme="majorHAnsi" w:eastAsiaTheme="majorHAnsi" w:hAnsiTheme="majorHAnsi" w:cstheme="majorEastAsia"/>
      <w:b/>
      <w:bCs/>
      <w:color w:val="2E74B5"/>
      <w:sz w:val="26"/>
      <w:szCs w:val="26"/>
    </w:rPr>
  </w:style>
  <w:style w:type="paragraph" w:styleId="Heading3">
    <w:name w:val="heading 3"/>
    <w:uiPriority w:val="9"/>
    <w:basedOn w:val="Normal"/>
    <w:next w:val="Normal"/>
    <w:link w:val="Heading3Char"/>
    <w:qFormat/>
    <w:unhideWhenUsed/>
    <w:pPr>
      <w:keepNext/>
      <w:keepLines/>
      <w:outlineLvl w:val="2"/>
      <w:spacing w:after="80" w:before="160"/>
    </w:pPr>
    <w:rPr>
      <w:rFonts w:asciiTheme="majorHAnsi" w:eastAsiaTheme="majorHAnsi" w:hAnsiTheme="majorHAnsi" w:cstheme="majorEastAsia"/>
      <w:b/>
      <w:bCs/>
      <w:color w:val="1F4D78"/>
      <w:sz w:val="24"/>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paragraph" w:customStyle="1" w:styleId="FigureCaption">
    <w:name w:val="Figure Caption"/>
    <w:pPr>
      <w:spacing w:after="240" w:line="276" w:lineRule="auto"/>
    </w:pPr>
    <w:rPr>
      <w:rFonts w:ascii="맑은 고딕" w:eastAsia="맑은 고딕" w:hAnsi="맑은 고딕"/>
      <w:color w:val="595959"/>
      <w:sz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numbering" Target="numbering.xml" /><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benef</cp:lastModifiedBy>
  <cp:revision>1</cp:revision>
  <dcterms:created xsi:type="dcterms:W3CDTF">2013-12-23T23:15:00Z</dcterms:created>
  <dcterms:modified xsi:type="dcterms:W3CDTF">2026-07-22T06:34:02Z</dcterms:modified>
  <cp:version>1300.0100.01</cp:version>
</cp:coreProperties>
</file>