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jc w:val="left"/>
      </w:pPr>
      <w:r>
        <w:t>『문병로 교수의 메트릭 스튜디오 02』 2장 「시장관찰」 1. 알파는 단일 최적값인가, 안정적인 구간인가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&gt; “유니버스가 넓어질수록 유동성이 부족한 종목들이 상당히 포함되어 실전에서의 슬리피지는 더 많이 발생한다.”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『문병로 교수의 메트릭 스튜디오』 2장에서 유동성 유니버스를 넓혀 가는 실험을 읽다가 이 문장에서 멈췄다. 책에서는 유동성 상위 80% 부근까지 연평균 수익률이 개선되지만, 그보다 넓은 유니버스에서는 수익률 개선이 멈춘다고 설명한다. 저유동성 종목의 높은 이론 수익률이 거래비용 앞에서는 무의미해질 수 있다는 뜻이다.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360"/>
      </w:tblGrid>
      <w:tr>
        <w:tc>
          <w:tcPr>
            <w:tcW w:w="9072" w:type="dxa"/>
            <w:shd w:val="clear" w:color="auto" w:fill="F4F6F9"/>
            <w:tcMar>
              <w:top w:w="110" w:type="dxa"/>
              <w:bottom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맑은 고딕" w:eastAsia="맑은 고딕" w:hAnsi="맑은 고딕"/>
                <w:b/>
                <w:color w:val="1F3A5F"/>
                <w:sz w:val="21"/>
              </w:rPr>
              <w:t>“유동성이 큰 종목에 지나치게 집착하면 수익률을 많이 손해 본다. 그렇다고 이론 수익률에만 집착하면 슬리피지로 인한 손실이 더 커질 수 있다.”</w:t>
            </w:r>
          </w:p>
        </w:tc>
      </w:tr>
    </w:tbl>
    <w:p>
      <w:pPr>
        <w:spacing w:after="0"/>
      </w:pP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처음에는 이 숫자를 전략의 조건으로 적어 두고 싶었다. 유동성 상위 80%를 사용하면 되겠다고 말이다. 그런데 같은 전략을 1억 원으로 운용하는 사람과 100억 원으로 운용하는 사람이 정말 같은 기준을 공유해야 하는지는 설명되지 않는다. 수익률이 높은 종목군과 내가 실제로 살 수 있는 종목군도 같지 않을 수 있다.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책은 같은 실험에서 유동성 상위 80%까지 넓혔을 때 연평균 수익률이 66.16%였고, 상위 50%로 제한하면 49.88%였다고 적는다. 숫자만 보면 80%가 답처럼 보인다. 하지만 그 차이 16.28%p에는 저유동성 종목을 더 담았을 때만 얻을 수 있는 이론 수익과, 실제 주문이 그 종목의 가격을 밀어 버릴 때 잃는 비용이 함께 들어 있다. 나는 이 차이를 ‘수익률의 차이’가 아니라 ‘실행 가능한 수익률과 실행 불가능한 수익률의 차이’로 읽었다.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소형주 연구가 늘 불편한 이유도 여기에 있다. 소형주는 장기 평균 수익률에서 매력적으로 보이지만, 작은 시가총액과 낮은 거래대금은 그 보상을 전부 가져가기 어렵게 만든다. 소형주가 유리하다는 문장과 소형주를 실제로 많이 살 수 있다는 문장은 같은 말이 아니다. 1편에서 소형주 결과를 따로 의심한 이유도, 수익률이 크다는 사실보다 그 수익률을 누가 얼마만큼 가져갈 수 있는지가 더 중요했기 때문이다.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금융인공지능 프로젝트에서 팩터 포트폴리오를 만들 때도 비슷한 일이 있었다. PER, ROE, 모멘텀, 유동성 조건을 하나씩 더할수록 백테스트의 곡선은 좋아 보였다. 대신 종목 수는 줄었고, 실제로 주문을 낼 수 있는 종목은 빠르게 사라졌다. 당시에는 조건이 지나치게 엄격하다고만 생각했다. 지금 다시 보면 나는 수익률을 최적화한 것이 아니라, 거래하기 어려운 표본을 골라낸 것일 수 있다.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그래서 책의 숫자를 재현하는 대신 질문을 바꿨다.</w:t>
      </w:r>
    </w:p>
    <w:p>
      <w:pPr>
        <w:spacing w:after="160" w:line="320" w:lineRule="auto"/>
      </w:pPr>
      <w:r>
        <w:rPr>
          <w:rFonts w:ascii="맑은 고딕" w:eastAsia="맑은 고딕" w:hAnsi="맑은 고딕"/>
          <w:b/>
          <w:sz w:val="22"/>
        </w:rPr>
        <w:t>‘유동성 상위 몇 퍼센트가 가장 좋은가’가 아니라, 비용과 운용 규모를 조금만 바꿔도 사라지는 전략을 알파라고 부를 수 있는가.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최고 수익률 하나는 탐색 과정에서 우연히 튀어나올 수 있다. 반면 인접한 조건에서도 남는 결과는 다른 의미를 가진다. 나는 전자를 단일 최적값, 후자를 안정적인 구간이라고 부르기로 했다.</w:t>
      </w:r>
    </w:p>
    <w:p>
      <w:pPr>
        <w:pStyle w:val="Heading2"/>
      </w:pPr>
      <w:r>
        <w:t>내가 만든 실험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이번 실험에는 한국 주식 수정주가·거래량·시가총액 패널을 사용했다. 기간은 2000년 8월부터 2026년 4월까지이며, 월 단위로 리밸런싱했다. 반전·모멘텀·저변동성·소형주 네 신호에 유동성, 보유 종목 수, 운용 규모, 거래비용을 바꿔 총 1,728개 전략을 만들었다.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c>
          <w:tcPr>
            <w:tcW w:w="4428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맑은 고딕" w:eastAsia="맑은 고딕" w:hAnsi="맑은 고딕"/>
                <w:b/>
                <w:sz w:val="20"/>
              </w:rPr>
              <w:t>바꾼 조건</w:t>
            </w:r>
          </w:p>
        </w:tc>
        <w:tc>
          <w:tcPr>
            <w:tcW w:w="4428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맑은 고딕" w:eastAsia="맑은 고딕" w:hAnsi="맑은 고딕"/>
                <w:b/>
                <w:sz w:val="20"/>
              </w:rPr>
              <w:t>범위</w:t>
            </w:r>
          </w:p>
        </w:tc>
      </w:tr>
      <w:tr>
        <w:tc>
          <w:tcPr>
            <w:tcW w:w="4428" w:type="dx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맑은 고딕" w:eastAsia="맑은 고딕" w:hAnsi="맑은 고딕"/>
                <w:b w:val="0"/>
                <w:sz w:val="20"/>
              </w:rPr>
              <w:t>신호</w:t>
            </w:r>
          </w:p>
        </w:tc>
        <w:tc>
          <w:tcPr>
            <w:tcW w:w="4428" w:type="dx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맑은 고딕" w:eastAsia="맑은 고딕" w:hAnsi="맑은 고딕"/>
                <w:b w:val="0"/>
                <w:sz w:val="20"/>
              </w:rPr>
              <w:t>1개월 반전 · 6개월 모멘텀 · 저변동성 · 소형주</w:t>
            </w:r>
          </w:p>
        </w:tc>
      </w:tr>
      <w:tr>
        <w:tc>
          <w:tcPr>
            <w:tcW w:w="4428" w:type="dx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맑은 고딕" w:eastAsia="맑은 고딕" w:hAnsi="맑은 고딕"/>
                <w:b w:val="0"/>
                <w:sz w:val="20"/>
              </w:rPr>
              <w:t>유동성 유니버스</w:t>
            </w:r>
          </w:p>
        </w:tc>
        <w:tc>
          <w:tcPr>
            <w:tcW w:w="4428" w:type="dx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맑은 고딕" w:eastAsia="맑은 고딕" w:hAnsi="맑은 고딕"/>
                <w:b w:val="0"/>
                <w:sz w:val="20"/>
              </w:rPr>
              <w:t>상위 20% ~ 전체 시장</w:t>
            </w:r>
          </w:p>
        </w:tc>
      </w:tr>
      <w:tr>
        <w:tc>
          <w:tcPr>
            <w:tcW w:w="4428" w:type="dx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맑은 고딕" w:eastAsia="맑은 고딕" w:hAnsi="맑은 고딕"/>
                <w:b w:val="0"/>
                <w:sz w:val="20"/>
              </w:rPr>
              <w:t>보유 종목 수</w:t>
            </w:r>
          </w:p>
        </w:tc>
        <w:tc>
          <w:tcPr>
            <w:tcW w:w="4428" w:type="dx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맑은 고딕" w:eastAsia="맑은 고딕" w:hAnsi="맑은 고딕"/>
                <w:b w:val="0"/>
                <w:sz w:val="20"/>
              </w:rPr>
              <w:t>10 · 20 · 30 · 50개</w:t>
            </w:r>
          </w:p>
        </w:tc>
      </w:tr>
      <w:tr>
        <w:tc>
          <w:tcPr>
            <w:tcW w:w="4428" w:type="dx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맑은 고딕" w:eastAsia="맑은 고딕" w:hAnsi="맑은 고딕"/>
                <w:b w:val="0"/>
                <w:sz w:val="20"/>
              </w:rPr>
              <w:t>운용 규모</w:t>
            </w:r>
          </w:p>
        </w:tc>
        <w:tc>
          <w:tcPr>
            <w:tcW w:w="4428" w:type="dx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맑은 고딕" w:eastAsia="맑은 고딕" w:hAnsi="맑은 고딕"/>
                <w:b w:val="0"/>
                <w:sz w:val="20"/>
              </w:rPr>
              <w:t>1억 · 10억 · 100억 원</w:t>
            </w:r>
          </w:p>
        </w:tc>
      </w:tr>
      <w:tr>
        <w:tc>
          <w:tcPr>
            <w:tcW w:w="4428" w:type="dx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맑은 고딕" w:eastAsia="맑은 고딕" w:hAnsi="맑은 고딕"/>
                <w:b w:val="0"/>
                <w:sz w:val="20"/>
              </w:rPr>
              <w:t>시장충격 계수</w:t>
            </w:r>
          </w:p>
        </w:tc>
        <w:tc>
          <w:tcPr>
            <w:tcW w:w="4428" w:type="dx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맑은 고딕" w:eastAsia="맑은 고딕" w:hAnsi="맑은 고딕"/>
                <w:b w:val="0"/>
                <w:sz w:val="20"/>
              </w:rPr>
              <w:t>0.5 · 1.0 · 1.5 · 2.0배</w:t>
            </w:r>
          </w:p>
        </w:tc>
      </w:tr>
    </w:tbl>
    <w:p>
      <w:pPr>
        <w:spacing w:after="0"/>
      </w:pP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편도 비용은 기본 10bp에 주문금액이 해당 종목의 거래대금에서 차지하는 비중의 제곱근에 비례한 시장충격을 더해 계산했다. 표의 0.5~2.0배는 이 시장충격 부분에만 적용한 계수다. 수익률만으로 전략을 고르지 않았다. 비용 차감 CAGR이 양수인지, 월별 수익률의 t-통계량이 1.96을 넘는지, 최대낙폭이 -60%보다 나은지, 주문이 평균 80% 이상 체결되는지를 동시에 확인했다. 한 조건만 조금 바꿔도 모두 무너지는 전략은 높은 수익률을 내도 남기지 않으려 했다.</w:t>
      </w:r>
    </w:p>
    <w:p>
      <w:pPr>
        <w:keepNext/>
        <w:jc w:val="center"/>
        <w:spacing w:after="60" w:before="120"/>
      </w:pPr>
      <w:r>
        <w:drawing>
          <wp:inline distT="0" distB="0" distL="0" distR="0">
            <wp:extent cx="5577840" cy="3346704"/>
            <wp:effectExtent l="0" t="0" r="0" b="0"/>
            <wp:docPr id="102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맑은 고딕" w:eastAsia="맑은 고딕" w:hAnsi="맑은 고딕"/>
          <w:color w:val="595959"/>
          <w:sz w:val="18"/>
        </w:rPr>
        <w:t>그림 1. 유동성·비용 조건별로 살아남은 전략 조합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위 그림의 숫자는 해당 유동성·비용 구간에서 살아남은 전략 조합의 수다. 빈칸은 그 조건에서 네 가지 기준을 동시에 통과한 전략이 없었다는 뜻이다. 반전과 모멘텀은 특정 조건에서는 좋아 보여도 인접한 비용 또는 유동성 가정으로 이동하면 사라졌다.</w:t>
      </w:r>
    </w:p>
    <w:p>
      <w:pPr>
        <w:pStyle w:val="Heading2"/>
      </w:pPr>
      <w:r>
        <w:t>결과: 높은 수익률보다 넓은 생존 구간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조건을 모두 통과한 전략은 64개였다. 그중 52개는 저변동성 신호 주변에 연결돼 있었다. 시장충격을 두 배로 올려도, 운용 규모 1억~10억 원 범위에서는 이 영역이 남았다. 저변동성이 가장 높은 수익률을 냈다는 뜻은 아니다. 현실 가정을 조금 바꿔도 결과가 급격히 사라지지 않았다는 뜻이다.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소형주는 다른 모습이었다. 연결된 조합은 12개로 작았지만, 일부 조합은 강한 수익률을 냈다. 소형주 50종목, 유동성 상위 90%, 운용 규모 1억 원, 비용 0.5배라는 조합의 비용 차감 CAGR은 38.6%, t-통계량은 5.92였다. 평균 체결률도 97.6%였다.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하지만 1,728개를 돌린 뒤 가장 높은 전략 하나를 보고 놀라는 것은 아무 의미가 없다. 많은 시도 중 하나가 우연히 높게 나올 수 있기 때문이다. 그래서 모든 전략의 월별 수익률을 함께 중심화한 뒤, 6개월 블록 부트스트랩을 1,000회 적용했다. 무작위 시장에서도 이 정도의 최고 t-통계량이 나올 수 있는지를 확인하기 위해서다.</w:t>
      </w:r>
    </w:p>
    <w:p>
      <w:pPr>
        <w:keepNext/>
        <w:jc w:val="center"/>
        <w:spacing w:after="60" w:before="120"/>
      </w:pPr>
      <w:r>
        <w:drawing>
          <wp:inline distT="0" distB="0" distL="0" distR="0">
            <wp:extent cx="5577840" cy="2602992"/>
            <wp:effectExtent l="0" t="0" r="0" b="0"/>
            <wp:docPr id="1026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맑은 고딕" w:eastAsia="맑은 고딕" w:hAnsi="맑은 고딕"/>
          <w:color w:val="595959"/>
          <w:sz w:val="18"/>
        </w:rPr>
        <w:t>그림 2. 다중검정 보정 뒤의 의사결정 경계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전체 탐색을 반영한 가족단위 p-value는 0.001 미만이었다. 내가 설정한 1,728개 조건의 수만으로 이 최고 t-통계량을 설명하기는 어렵다는 결과다. 다만 이 검정은 ‘수많은 전략 중 운 좋게 하나를 찾았다’는 문제만 다룬다. 경제적 원인까지 증명하지는 않는다.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한 번 더 시간으로 표본을 나눴다. 2000년 8월부터 2013년 12월까지에서 가장 높은 t-통계량을 낸 조합을 고르고, 2014년 1월 이후 149개월은 선택에 전혀 사용하지 않았다. 학습 구간에서 선택된 조합은 동일하게 소형주 50종목·유동성 상위 90%·1억 원·비용 0.5배였고, 이후 기간의 t-통계량은 5.54, 비용 차감 CAGR은 43.9%였다.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18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/>
            </w:pPr>
            <w:r>
              <w:rPr>
                <w:rFonts w:ascii="맑은 고딕" w:eastAsia="맑은 고딕" w:hAnsi="맑은 고딕"/>
                <w:b/>
                <w:sz w:val="20"/>
              </w:rPr>
              <w:t>선택 구간</w:t>
            </w:r>
          </w:p>
        </w:tc>
        <w:tc>
          <w:tcPr>
            <w:tcW w:w="1008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맑은 고딕" w:eastAsia="맑은 고딕" w:hAnsi="맑은 고딕"/>
                <w:b/>
                <w:sz w:val="20"/>
              </w:rPr>
              <w:t>검증 구간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맑은 고딕" w:eastAsia="맑은 고딕" w:hAnsi="맑은 고딕"/>
                <w:b/>
                <w:sz w:val="20"/>
              </w:rPr>
              <w:t>검증 t-통계량</w:t>
            </w:r>
          </w:p>
        </w:tc>
        <w:tc>
          <w:tcPr>
            <w:tcW w:w="3096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맑은 고딕" w:eastAsia="맑은 고딕" w:hAnsi="맑은 고딕"/>
                <w:b/>
                <w:sz w:val="20"/>
              </w:rPr>
              <w:t>검증 CAGR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/>
            </w:pPr>
            <w:r>
              <w:rPr>
                <w:rFonts w:ascii="맑은 고딕" w:eastAsia="맑은 고딕" w:hAnsi="맑은 고딕"/>
                <w:b w:val="0"/>
                <w:sz w:val="20"/>
              </w:rPr>
              <w:t>2000.08~2013.12</w:t>
            </w:r>
          </w:p>
        </w:tc>
        <w:tc>
          <w:tcPr>
            <w:tcW w:w="1008" w:type="dx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맑은 고딕" w:eastAsia="맑은 고딕" w:hAnsi="맑은 고딕"/>
                <w:b w:val="0"/>
                <w:sz w:val="20"/>
              </w:rPr>
              <w:t>2014.01~2026.05</w:t>
            </w:r>
          </w:p>
        </w:tc>
        <w:tc>
          <w:tcPr>
            <w:tcW w:w="2880" w:type="dx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맑은 고딕" w:eastAsia="맑은 고딕" w:hAnsi="맑은 고딕"/>
                <w:b w:val="0"/>
                <w:sz w:val="20"/>
              </w:rPr>
              <w:t>5.54</w:t>
            </w:r>
          </w:p>
        </w:tc>
        <w:tc>
          <w:tcPr>
            <w:tcW w:w="3096" w:type="dx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rFonts w:ascii="맑은 고딕" w:eastAsia="맑은 고딕" w:hAnsi="맑은 고딕"/>
                <w:b w:val="0"/>
                <w:sz w:val="20"/>
              </w:rPr>
              <w:t>43.9%</w:t>
            </w:r>
          </w:p>
        </w:tc>
      </w:tr>
    </w:tbl>
    <w:p>
      <w:pPr>
        <w:spacing w:after="0"/>
      </w:pP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한 번의 분할에 의존하지 않기 위해 2008년부터 매년 같은 절차를 반복했다. 매년 1월에는 그 전까지의 데이터로 t-통계량이 가장 높은 조합 하나만 고르고, 그해 12개월 수익률로만 평가했다. 19년·221개월의 롤링 워크포워드 CAGR은 30.4%, t-통계량은 4.74였다. 19번의 선택에서 같은 소형주 조합이 계속 선택됐다.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여기서 기간 표기를 분리할 필요가 있다. 신호를 만드는 수정주가·거래량·시가총액 패널의 마지막 월은 2026년 4월이다. 표의 검증 종료가 2026년 5월인 이유는 2026년 4월에 선택한 종목의 한 달 뒤 수익률을 관측했기 때문이다. 입력 데이터의 마지막 월과 평가 수익률의 마지막 월을 같은 뜻으로 쓰면 안 된다.</w:t>
      </w:r>
    </w:p>
    <w:p>
      <w:pPr>
        <w:pStyle w:val="Heading2"/>
      </w:pPr>
      <w:r>
        <w:t>결과를 신뢰하지 않기 위해 다시 한 일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이 결과는 최고점을 고른 뒤 같은 기간에서 다시 칭찬한 것은 아니라는 점을 보여준다. 다음으로 원시 DataGuide 거래정지구분 패널을 직접 연결했다. 선택 시점에 상태가 ‘정상’이 아닌 종목 1,908개를 제외한 뒤, 같은 소형주 전략을 다시 실행했다.</w:t>
      </w:r>
    </w:p>
    <w:p>
      <w:pPr>
        <w:keepNext/>
        <w:jc w:val="center"/>
        <w:spacing w:after="60" w:before="120"/>
      </w:pPr>
      <w:r>
        <w:drawing>
          <wp:inline distT="0" distB="0" distL="0" distR="0">
            <wp:extent cx="5577840" cy="2602992"/>
            <wp:effectExtent l="0" t="0" r="0" b="0"/>
            <wp:docPr id="1027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맑은 고딕" w:eastAsia="맑은 고딕" w:hAnsi="맑은 고딕"/>
          <w:color w:val="595959"/>
          <w:sz w:val="18"/>
        </w:rPr>
        <w:t>그림 3. 거래정지 편입 제외 뒤 소형주 전략 성과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거래정지 보정 뒤 비용 차감 CAGR은 46.6%, t-통계량은 6.55, MDD는 -44.6%였다. 보정 전 동일 기간의 CAGR 38.7%, t-통계량 5.79, MDD -49.1%보다 나쁘지 않았다. 적어도 이 전략의 결과가 거래정지 종목을 그대로 포함했기 때문에 생긴 것은 아니라는 점은 확인했다.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여기서 상장폐지 포함 여부는 추정하지 않고 코드로 대조했다. `자본총계(상장폐지)`의 1,336개 코드를 원본 수정주가와 맞춘 결과, 1,336개가 모두 수정주가 원본에 들어 있었다. 월간 연구 패널에도 그중 1,087개가 남아 있다. 따라서 관측 종료가 이른 종목을 근거로 이 데이터가 생존 종목만으로 만들어졌다고 말할 수는 없다.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다만 나는 이 확인을 생존편향이 사라졌다는 선언으로 쓰지 않았다. 기존 구현에는 ‘다음 달 가격이 존재하는 종목’만 편입 후보로 남기는 사후 필터가 있었다. 이 필터를 제거하고, 다음 월 가격이 없는 종목은 편입 시점에 제외하지 않도록 다시 돌렸다. 기본 결과는 종료 시점에 마지막 조정주가로 현금화된다고 두는 중립 규칙이다.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수익률 연결도 다시 감사했다. 기존 월간 패널에는 다음 달이 아니라 몇 년 뒤 재관측된 가격을 연결할 수 있는 공백이 21개 있었다. 최대 공백은 6,394일이었다. 19개 코드의 재진입 구간 1,764행을 격리하고, 1·6·12개월 수익률은 달력상 정확히 해당 기간 뒤의 관측치가 있을 때만 계산했다. 이 보정 뒤에도 소형주 안정적인 구간 12개는 남았지만, 저변동성 안정적인 구간은 55개에서 52개로 줄었다.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이 중립 규칙 아래 소형주 전략의 CAGR은 38.7%다. 한 달 늦게 집행해도 CAGR 28.4%, t-통계량 4.82가 남았다. 추가 편도비용을 점차 얹으면 약 141bp에서 CAGR이 0이 된다. 지금의 비용 모형이 무조건 낙관적이라는 비판은 이 숫자와 실제 호가 스프레드를 비교해 판정할 수 있다.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비용을 매월 전량 교체한다고 둔 가정도 풀어 보았다. 실제 전월 보유 종목의 가격 변동 뒤 목표 비중으로 되돌리는 교체율은 평균 38.2%였다. 같은 비용 함수를 실제 교체율에만 적용하면 CAGR은 41.1%가 된다. 이 수치는 전략이 더 좋아졌다는 발견이 아니다. 전량 월간 매매는 비용을 보수적으로 과대 계상했다는 뜻이다.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그렇다고 41.1%를 알파라고 부를 수는 없다. 같은 유동성 상위 90% 유니버스를 동일가중한 벤치마크의 CAGR은 8.7%였고, 상대 CAGR은 29.8%였다. 월별 회귀에서 벤치마크 베타는 0.83, 절편은 월 2.54%였으며 절편 t-통계량은 6.04였다. 적어도 결과가 넓은 유동성 시장을 단순히 많이 산 효과만은 아니라는 반증이다. 규모 외의 위험요인을 통제한 완전한 요인 알파와는 다른 주장이다.</w:t>
      </w:r>
    </w:p>
    <w:p>
      <w:pPr>
        <w:pStyle w:val="Heading2"/>
      </w:pPr>
      <w:r>
        <w:t>이 글이 아직 투자 권유가 아닌 이유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하지만 종료 종목 436개 보유-월을 모두 전액 손실로 놓는 반대 극단에서는 포트폴리오 가치가 사실상 소멸한다. 이것은 소형주 전략이 거짓이라는 증명도, 중립 규칙이 참이라는 증명도 아니다. 수정주가에는 상장폐지 종목이 포함돼 있어도, 월간 패널의 빈 다음 가격이 청산·합병·코드변경·데이터 단절 중 무엇이었는지와 현금 결제값은 이 파일만으로 구분되지 않는다. 이 전략의 최종 관문은 새 알파가 아니라 그 436개 사건의 실제 결제값을 연결하는 일이다.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그래서 빈칸을 한 줄의 한계로 남겨두지 않았다. 436개 종료 후보를 DART 법인코드와 연결한 결과 365개가 공식 공시 조회 대상이 됐고, 상장폐지·합병·감자·해산 관련 공시 후보 1,938건을 수집했다. 이 가운데 사건의 결제와 가장 가까운 공시를 우선순위화한 원문 검토 큐는 868건이다. 이 숫자가 결제값은 아니다. 공시 제목만으로 현금청산·주식교부·정정공시를 같은 손실로 바꾸는 순간, 보정은 또 다른 편향이 된다. 여기서 필요한 작업은 추정이 아니라 사건별 현금흐름 판정이다.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360"/>
      </w:tblGrid>
      <w:tr>
        <w:tc>
          <w:tcPr>
            <w:tcW w:w="9072" w:type="dxa"/>
            <w:shd w:val="clear" w:color="auto" w:fill="F4F6F9"/>
            <w:tcMar>
              <w:top w:w="110" w:type="dxa"/>
              <w:bottom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맑은 고딕" w:eastAsia="맑은 고딕" w:hAnsi="맑은 고딕"/>
                <w:b/>
                <w:color w:val="1F3A5F"/>
                <w:sz w:val="21"/>
              </w:rPr>
              <w:t>아직 투자 전략이 아닌 이유</w:t>
            </w:r>
            <w:r>
              <w:rPr>
                <w:rFonts w:ascii="맑은 고딕" w:eastAsia="맑은 고딕" w:hAnsi="맑은 고딕"/>
                <w:b/>
                <w:color w:val="1F3A5F"/>
                <w:sz w:val="21"/>
              </w:rPr>
              <w:br/>
            </w:r>
            <w:r>
              <w:rPr>
                <w:rFonts w:ascii="맑은 고딕" w:eastAsia="맑은 고딕" w:hAnsi="맑은 고딕"/>
                <w:b/>
                <w:color w:val="1F3A5F"/>
                <w:sz w:val="21"/>
              </w:rPr>
              <w:t>상장폐지 종목은 원천 유니버스에서 제거되지 않았고, 거래정지 종목도 편입 시점에 제외했다. 그러나 다음 가격이 비어 있는 436개 종료 사건의 실제 현금 결제값은 아직 연결하지 못했다. 따라서 이 글의 결론은 ‘소형주를 사야 한다’가 아니다. 비용·규모·유동성의 작은 변화에 남은 패턴을 발견했고, 그 패턴을 무너뜨릴 가장 구체적인 데이터 요구사항도 발견했다는 것이다.</w:t>
            </w:r>
          </w:p>
        </w:tc>
      </w:tr>
    </w:tbl>
    <w:p>
      <w:pPr>
        <w:spacing w:after="0"/>
      </w:pPr>
    </w:p>
    <w:p>
      <w:pPr>
        <w:pStyle w:val="Heading2"/>
      </w:pPr>
      <w:r>
        <w:t>유동성 80%는 정답이 아니었다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2장의 유동성 80%는 내게 답보다 더 좋은 질문을 남겼다. 유동성 기준은 시장 전체에 하나만 존재하는 상수가 아니다. 운용 규모, 주문 방식, 보유 종목 수, 허용 가능한 거래비용에 따라 달라지는 제약조건이다.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그래서 이번 실험에서 남은 결론은 특정 팩터의 승리가 아니다. 알파는 가장 높은 단일 최적값가 아니라, 비용·규모·유동성이라는 현실의 제약을 바꿔도 남는 안정적인 구간이어야 한다.</w:t>
      </w:r>
    </w:p>
    <w:p>
      <w:pPr>
        <w:spacing w:after="160" w:line="320" w:lineRule="auto"/>
      </w:pPr>
      <w:r>
        <w:rPr>
          <w:rFonts w:ascii="맑은 고딕" w:eastAsia="맑은 고딕" w:hAnsi="맑은 고딕"/>
          <w:sz w:val="22"/>
        </w:rPr>
        <w:t>그런데 이 글에서 유동성을 가르기 위해 사용한 거래회전율 역시 중립적인 숫자는 아니다. 다음 글에서는 거래회전율이 정말 투자자의 관심을 측정하는지부터 다시 확인한다.</w:t>
      </w:r>
    </w:p>
    <w:p>
      <w:pPr>
        <w:pStyle w:val="Heading2"/>
      </w:pPr>
      <w:r>
        <w:t>GitHub에서 확인할 수 있는 것</w:t>
      </w:r>
    </w:p>
    <w:p>
      <w:pPr>
        <w:pStyle w:val="ListBullet"/>
        <w:spacing w:after="80"/>
      </w:pPr>
      <w:r>
        <w:rPr>
          <w:rFonts w:ascii="맑은 고딕" w:eastAsia="맑은 고딕" w:hAnsi="맑은 고딕"/>
          <w:color w:val="373737"/>
          <w:sz w:val="19"/>
        </w:rPr>
        <w:t>실험 설계와 체결 모형: https://github.com/Rowoon-Lee5/metric_studio_by_moon/blob/main/experiments/alpha_topology.py</w:t>
      </w:r>
    </w:p>
    <w:p>
      <w:pPr>
        <w:pStyle w:val="ListBullet"/>
        <w:spacing w:after="80"/>
      </w:pPr>
      <w:r>
        <w:rPr>
          <w:rFonts w:ascii="맑은 고딕" w:eastAsia="맑은 고딕" w:hAnsi="맑은 고딕"/>
          <w:color w:val="373737"/>
          <w:sz w:val="19"/>
        </w:rPr>
        <w:t>전체 전략 성과표: https://github.com/Rowoon-Lee5/metric_studio_by_moon/blob/main/results/alpha_topology_nodes.csv</w:t>
      </w:r>
    </w:p>
    <w:p>
      <w:pPr>
        <w:pStyle w:val="ListBullet"/>
        <w:spacing w:after="80"/>
      </w:pPr>
      <w:r>
        <w:rPr>
          <w:rFonts w:ascii="맑은 고딕" w:eastAsia="맑은 고딕" w:hAnsi="맑은 고딕"/>
          <w:color w:val="373737"/>
          <w:sz w:val="19"/>
        </w:rPr>
        <w:t>다중검정 보정 결과: https://github.com/Rowoon-Lee5/metric_studio_by_moon/blob/main/results/reality_check_report.json</w:t>
      </w:r>
    </w:p>
    <w:p>
      <w:pPr>
        <w:pStyle w:val="ListBullet"/>
        <w:spacing w:after="80"/>
      </w:pPr>
      <w:r>
        <w:rPr>
          <w:rFonts w:ascii="맑은 고딕" w:eastAsia="맑은 고딕" w:hAnsi="맑은 고딕"/>
          <w:color w:val="373737"/>
          <w:sz w:val="19"/>
        </w:rPr>
        <w:t>종료사건·비용·실행 감사: https://github.com/Rowoon-Lee5/metric_studio_by_moon/blob/main/results/closure_audits_report.json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  <w:pPr>
      <w:spacing w:after="160" w:line="320" w:lineRule="auto"/>
    </w:pPr>
    <w:rPr>
      <w:rFonts w:ascii="맑은 고딕" w:eastAsia="맑은 고딕" w:hAnsi="맑은 고딕"/>
      <w:sz w:val="22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360" w:before="0"/>
    </w:pPr>
    <w:rPr>
      <w:rFonts w:asciiTheme="majorHAnsi" w:eastAsiaTheme="majorHAnsi" w:hAnsiTheme="majorHAnsi" w:cstheme="majorEastAsia"/>
      <w:b/>
      <w:bCs/>
      <w:color w:val="2E74B5"/>
      <w:sz w:val="34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120" w:before="240"/>
    </w:pPr>
    <w:rPr>
      <w:rFonts w:asciiTheme="majorHAnsi" w:eastAsiaTheme="majorHAnsi" w:hAnsiTheme="majorHAnsi" w:cstheme="majorEastAsia"/>
      <w:b/>
      <w:bCs/>
      <w:color w:val="2E74B5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80" w:before="160"/>
    </w:pPr>
    <w:rPr>
      <w:rFonts w:asciiTheme="majorHAnsi" w:eastAsiaTheme="majorHAnsi" w:hAnsiTheme="majorHAnsi" w:cstheme="majorEastAsia"/>
      <w:b/>
      <w:bCs/>
      <w:color w:val="1F4D78"/>
      <w:sz w:val="24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HAnsi" w:hAnsiTheme="majorHAnsi" w:cstheme="majorEastAsia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HAnsi" w:hAnsiTheme="majorHAnsi" w:cstheme="majorEastAsia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HAnsi" w:hAnsiTheme="majorHAnsi" w:cstheme="majorEastAsia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HAnsi" w:hAnsiTheme="majorHAnsi" w:cstheme="majorEastAsia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HAnsi" w:hAnsiTheme="majorHAnsi" w:cstheme="majorEastAsia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HAnsi" w:hAnsiTheme="majorHAnsi" w:cstheme="majorEastAsia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HAnsi" w:hAnsiTheme="majorHAnsi" w:cstheme="majorEastAsia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HAnsi" w:hAnsiTheme="majorHAnsi" w:cstheme="majorEastAsia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HAnsi" w:hAnsiTheme="majorHAnsi" w:cstheme="majorEastAsia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HAnsi" w:hAnsiTheme="majorHAnsi" w:cstheme="majorEastAsia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HAnsi" w:hAnsiTheme="majorHAnsi" w:cstheme="majorEastAsia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paragraph" w:customStyle="1" w:styleId="FigureCaption">
    <w:name w:val="Figure Caption"/>
    <w:pPr>
      <w:spacing w:after="240" w:line="276" w:lineRule="auto"/>
    </w:pPr>
    <w:rPr>
      <w:rFonts w:ascii="맑은 고딕" w:eastAsia="맑은 고딕" w:hAnsi="맑은 고딕"/>
      <w:color w:val="595959"/>
      <w:sz w:val="18"/>
    </w:r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01_알파는_봉우리인가_대륙인가</dc:title>
  <dc:subject>문병로 교수의 메트릭 스튜디오 02 블로그 원고</dc:subject>
  <dc:creator>beneficial5</dc:creator>
  <cp:keywords/>
  <dc:description>generated by python-docx</dc:description>
  <cp:lastModifiedBy>benef</cp:lastModifiedBy>
  <cp:revision>1</cp:revision>
  <dcterms:created xsi:type="dcterms:W3CDTF">2013-12-23T23:15:00Z</dcterms:created>
  <dcterms:modified xsi:type="dcterms:W3CDTF">2026-07-22T06:07:04Z</dcterms:modified>
  <cp:version>1300.0100.01</cp:version>
</cp:coreProperties>
</file>