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pStyle w:val="Heading2"/>
      </w:pPr>
      <w:r>
        <w:t>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단일 최적값일 수 있다. 반대로 인접한 조건에서도 비슷한 성과가 남는다면, 그 결과는 안정적인 구간이라고 볼 근거가 생긴다. 1편에서는 단일 최적값과 안정적인 구간을 구분해 본다.</w:t>
      </w:r>
    </w:p>
    <w:p>
      <w:pPr>
        <w:pStyle w:val="Heading2"/>
      </w:pPr>
      <w:r>
        <w:t>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pStyle w:val="Heading2"/>
      </w:pPr>
      <w:r>
        <w:t>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pStyle w:val="Heading2"/>
      </w:pPr>
      <w:r>
        <w:t>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02』 2장 「시장관찰」 1. 알파는 조건이 바뀌어도 남는가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 xml:space="preserve">처음에는 책에서 수익률이 높았던 </w:t>
      </w:r>
      <w:r>
        <w:rPr>
          <w:rFonts w:ascii="Malgun Gothic" w:hAnsi="Malgun Gothic" w:eastAsia="Malgun Gothic"/>
          <w:b/>
          <w:sz w:val="22"/>
        </w:rPr>
        <w:t>유동성 상위 80%</w:t>
      </w:r>
      <w:r>
        <w:rPr>
          <w:rFonts w:ascii="Malgun Gothic" w:hAnsi="Malgun Gothic" w:eastAsia="Malgun Gothic"/>
          <w:sz w:val="22"/>
        </w:rPr>
        <w:t>를 내 전략의 고정 필터로 쓰고 싶었다. 매월 평균 거래대금 상위 80% 안의 종목만 매수 후보로 남기면 된다고 생각했다.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상위 70% 이후 기울기가 완만해지고, 80%와 90% 사이에서는 오히려 작은 흔들림이 보인다. 이 모양은 ‘유동성은 많을수록 좋다’도, ‘유동성 80%가 항상 최적이다’도 아닌 질문을 만든다. 수익률 곡선이 평평해지는 지점에서 늘어난 종목 수가 운용 가능성의 감소를 보상하는가.</w:t>
      </w:r>
    </w:p>
    <w:p>
      <w:pPr>
        <w:spacing w:after="160" w:line="320" w:lineRule="auto"/>
      </w:pPr>
      <w:r>
        <w:rPr>
          <w:rFonts w:ascii="Malgun Gothic" w:hAnsi="Malgun Gothic" w:eastAsia="Malgun Gothic"/>
          <w:sz w:val="22"/>
        </w:rPr>
        <w:t>내 실험의 수익률을 이 그림의 66.16%와 직접 비교하지는 않았다. 표본 기간, 신호의 정의, 종목 수, 리밸런싱, 비용 모형이 다르면 같은 ‘유동성 상위 80%’도 같은 포트폴리오가 아니다. 책의 숫자를 재현하지 못했다고 반박할 수도 없고, 비슷한 모양이 나왔다고 검증됐다고 말할 수도 없다. 이 글의 목적은 책의 한 숫자를 복사하는 일이 아니라, 그 숫자가 성립하려면 무엇이 고정돼 있어야 하는지 분해하는 일이다.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pStyle w:val="Heading3"/>
      </w:pPr>
      <w:r>
        <w:t>유동성을 어떻게 정의했는가</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spacing w:after="160" w:line="320" w:lineRule="auto"/>
      </w:pPr>
      <w:r>
        <w:rPr>
          <w:rFonts w:ascii="Malgun Gothic" w:hAnsi="Malgun Gothic" w:eastAsia="Malgun Gothic"/>
          <w:sz w:val="22"/>
        </w:rPr>
        <w:t>네 신호도 같은 역할을 하지 않는다. 1개월 반전은 직전 한 달 수익률이 낮은 종목을, 6개월 모멘텀은 최근 여섯 달 수익률이 높은 종목을 선택한다. 저변동성은 최근 12개월 월 수익률의 변동성이 낮은 종목을, 소형주는 시가총액이 작은 종목을 고른다. 이 네 가지는 ‘좋아 보이는 팩터 목록’이 아니라, 가격 반전·추세·위험·규모라는 서로 다른 설명이 유동성 제약 앞에서 어떤 방식으로 무너지는지 비교하기 위한 대조군이다.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빼 버리면, 나는 유리한 신호만 남긴 채 유동성의 효과를 말하게 된다. 그래서 모멘텀을 다시 넣었다. 좋은 모델을 입증하기 위해서가 아니라, 유동성 기준을 넓혔을 때도 살아남지 못하는 신호가 실제로 있는지 확인하기 위해서다.</w:t>
      </w:r>
    </w:p>
    <w:p>
      <w:pPr>
        <w:spacing w:after="160" w:line="320" w:lineRule="auto"/>
      </w:pPr>
      <w:r>
        <w:rPr>
          <w:rFonts w:ascii="Malgun Gothic" w:hAnsi="Malgun Gothic" w:eastAsia="Malgun Gothic"/>
          <w:sz w:val="22"/>
        </w:rPr>
        <w:t>종목 선택에는 형성 월 종가까지의 정보만 사용했고, 다음 달 수익률은 선택 뒤에만 붙였다. 그렇다고 이 한 문장으로 미래정보 문제가 사라지는 것은 아니다. 수정주가에는 액면분할·배당·상장폐지 같은 사후 사건의 조정이 들어갈 수 있다. 그래서 이후에 재진입 종목과 다음 가격이 비어 있는 종목을 따로 감사했다. 백테스트에서 ‘룩어헤드를 막았다’는 말은 코드 한 줄의 문제가 아니라, 원천 가격이 어떤 사건을 어떤 시점에 반영했는지까지 확인해야 성립한다.</w:t>
      </w: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64</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56</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bl>
    <w:p>
      <w:pPr>
        <w:spacing w:after="0"/>
      </w:pPr>
    </w:p>
    <w:p>
      <w:pPr>
        <w:keepNext/>
        <w:spacing w:before="120" w:after="60"/>
        <w:jc w:val="center"/>
      </w:pPr>
      <w:r>
        <w:drawing>
          <wp:inline xmlns:a="http://schemas.openxmlformats.org/drawingml/2006/main" xmlns:pic="http://schemas.openxmlformats.org/drawingml/2006/picture">
            <wp:extent cx="5577840" cy="3904488"/>
            <wp:docPr id="2" name="Picture 2"/>
            <wp:cNvGraphicFramePr>
              <a:graphicFrameLocks noChangeAspect="1"/>
            </wp:cNvGraphicFramePr>
            <a:graphic>
              <a:graphicData uri="http://schemas.openxmlformats.org/drawingml/2006/picture">
                <pic:pic>
                  <pic:nvPicPr>
                    <pic:cNvPr id="0" name="01_robustness_map.png"/>
                    <pic:cNvPicPr/>
                  </pic:nvPicPr>
                  <pic:blipFill>
                    <a:blip r:embed="rId10"/>
                    <a:stretch>
                      <a:fillRect/>
                    </a:stretch>
                  </pic:blipFill>
                  <pic:spPr>
                    <a:xfrm>
                      <a:off x="0" y="0"/>
                      <a:ext cx="5577840" cy="3904488"/>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Malgun Gothic" w:hAnsi="Malgun Gothic" w:eastAsia="Malgun Gothic"/>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3021330"/>
            <wp:docPr id="3" name="Picture 3"/>
            <wp:cNvGraphicFramePr>
              <a:graphicFrameLocks noChangeAspect="1"/>
            </wp:cNvGraphicFramePr>
            <a:graphic>
              <a:graphicData uri="http://schemas.openxmlformats.org/drawingml/2006/picture">
                <pic:pic>
                  <pic:nvPicPr>
                    <pic:cNvPr id="0" name="11_participation_sensitivity.png"/>
                    <pic:cNvPicPr/>
                  </pic:nvPicPr>
                  <pic:blipFill>
                    <a:blip r:embed="rId11"/>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이 그림은 수익률을 보여 주는 표가 아니다. 각 칸은 유동성 비율과 시장충격 가정을 고정한 뒤, 남는 12개 조합을 세는 표다. 12개는 보유 종목 수 10·20·30·50개와 운용 규모 1억·10억·100억 원을 교차한 수다. 따라서 칸의 `5/12`는 종목이 5개라는 뜻도, 수익률이 5%라는 뜻도 아니다. 그 조건 아래 12개 전략 후보 중 네 기준을 모두 통과한 후보가 5개라는 뜻이다.</w:t>
      </w:r>
    </w:p>
    <w:p>
      <w:pPr>
        <w:spacing w:after="160" w:line="320" w:lineRule="auto"/>
      </w:pPr>
      <w:r>
        <w:rPr>
          <w:rFonts w:ascii="Malgun Gothic" w:hAnsi="Malgun Gothic" w:eastAsia="Malgun Gothic"/>
          <w:sz w:val="22"/>
        </w:rPr>
        <w:t>예를 들어 저변동성 패널의 ‘유동성 상위 70%·충격 1.0배’ 칸은 5/12다. 비용을 한 번 가정한 뒤 보유 종목 수와 운용 규모를 달리한 12개 후보 중 다섯 개가 양의 비용 차감 CAGR, t-통계량 1.96, MDD -60%, 평균 체결률 80%를 동시에 통과했다. 반대로 빈 칸은 0/12다. 어느 하나의 후보도 네 기준을 함께 통과하지 못했다는 뜻이다.</w:t>
      </w:r>
    </w:p>
    <w:p>
      <w:pPr>
        <w:spacing w:after="160" w:line="320" w:lineRule="auto"/>
      </w:pPr>
      <w:r>
        <w:rPr>
          <w:rFonts w:ascii="Malgun Gothic" w:hAnsi="Malgun Gothic" w:eastAsia="Malgun Gothic"/>
          <w:sz w:val="22"/>
        </w:rPr>
        <w:t>그래프에서 읽어야 할 것은 색의 진함이나 가장 큰 숫자가 아니다. 1개월 반전과 6개월 모멘텀은 모든 칸이 0/12다. 저변동성은 유동성 상위 60~90%에서만 통과 조합이 남고, 소형주는 상위 80~90%에서만 남는다. 즉 유동성 컷을 넓히면 모든 신호가 좋아지는 것이 아니라, 신호마다 실행 가능한 범위가 다르게 나타난다.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02_evidence_decision_boundary.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5" name="Picture 5"/>
            <wp:cNvGraphicFramePr>
              <a:graphicFrameLocks noChangeAspect="1"/>
            </wp:cNvGraphicFramePr>
            <a:graphic>
              <a:graphicData uri="http://schemas.openxmlformats.org/drawingml/2006/picture">
                <pic:pic>
                  <pic:nvPicPr>
                    <pic:cNvPr id="0" name="10_suspension_screened_smallcap.png"/>
                    <pic:cNvPicPr/>
                  </pic:nvPicPr>
                  <pic:blipFill>
                    <a:blip r:embed="rId13"/>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4.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손절매는 손실을 막는 규칙인가, 손실 경로를 바꾸는 규칙인가</w:t>
      </w:r>
    </w:p>
    <w:p>
      <w:pPr>
        <w:spacing w:after="160" w:line="320" w:lineRule="auto"/>
      </w:pPr>
      <w:r>
        <w:rPr>
          <w:rFonts w:ascii="Malgun Gothic" w:hAnsi="Malgun Gothic" w:eastAsia="Malgun Gothic"/>
          <w:sz w:val="22"/>
        </w:rPr>
        <w:t>손절매는 이 글의 유동성 문제와 멀어 보이지만, 실제로는 같은 질문에 닿아 있다. 손절은 가격이 내려가면 위험을 줄이는 규칙처럼 보인다. 그러나 저유동성 종목에서 손절 주문은 가장 거래하기 어려운 순간에 나간다. 손실을 줄였다고 기록한 백테스트가 실제로는 더 큰 가격 양보와 미체결을 숨길 수 있다. 그래서 손절을 ‘수익률을 높이는 보조 신호’로 바로 넣지 않고, 손실이 난 뒤 현금 비중과 회복 가능성이 어떻게 바뀌는지부터 확인했다.</w:t>
      </w:r>
    </w:p>
    <w:p>
      <w:pPr>
        <w:spacing w:after="160" w:line="320" w:lineRule="auto"/>
      </w:pPr>
      <w:r>
        <w:rPr>
          <w:rFonts w:ascii="Malgun Gothic" w:hAnsi="Malgun Gothic" w:eastAsia="Malgun Gothic"/>
          <w:sz w:val="22"/>
        </w:rPr>
        <w:t xml:space="preserve">현재 원천 데이터에는 일별 수정주가는 있지만 장중 고가·저가, 호가 스프레드, 실제 주문 체결 정보는 없다. 따라서 ‘-10%에 닿는 즉시 -10%에서 체결’되는 손절은 이 데이터로 검증할 수 없다. 그런 숫자는 손절 규칙이 아니라 체결가를 임의로 만든 결과가 된다. 이번에는 더 보수적으로, 월말에 선택한 소형주를 일별 종가로 추적하다가 손실 기준을 처음 넘긴 뒤 </w:t>
      </w:r>
      <w:r>
        <w:rPr>
          <w:rFonts w:ascii="Malgun Gothic" w:hAnsi="Malgun Gothic" w:eastAsia="Malgun Gothic"/>
          <w:b/>
          <w:sz w:val="22"/>
        </w:rPr>
        <w:t>다음 거래일 종가</w:t>
      </w:r>
      <w:r>
        <w:rPr>
          <w:rFonts w:ascii="Malgun Gothic" w:hAnsi="Malgun Gothic" w:eastAsia="Malgun Gothic"/>
          <w:sz w:val="22"/>
        </w:rPr>
        <w:t>에 청산하고, 다음 월 리밸런싱까지 현금으로 두는 규칙만 계산했다.</w:t>
      </w:r>
    </w:p>
    <w:p>
      <w:pPr>
        <w:spacing w:after="160" w:line="320" w:lineRule="auto"/>
      </w:pPr>
      <w:r>
        <w:rPr>
          <w:rFonts w:ascii="Malgun Gothic" w:hAnsi="Malgun Gothic" w:eastAsia="Malgun Gothic"/>
          <w:sz w:val="22"/>
        </w:rPr>
        <w:t>비교 대상은 앞에서 나온 비용 차감 포트폴리오 전체가 아니다. 선택된 소형주 보유 종목 중 형성일과 다음 형성일의 일별 수정주가가 모두 확인되는 15,464개 보유-월을 동일가중으로 비교한 조건부 표본이다. 체결 용량과 거래비용은 이 비교에서 고정하지 못했다. 이 실험은 ‘손절을 적용하면 실전 수익률이 얼마다’를 말하는 것이 아니라, 동일한 보유 종목 경로에서 손절 기준이 수익과 손실의 분포를 어떤 방향으로 바꾸는지 보는 오버레이다.</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7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규칙</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MDD</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t-통계량</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발생 비율</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뒤 월말 회복 비율</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손절 없음</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-10%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6.86</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35.4%</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41.9%</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-20%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6.50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16.3%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40.0%</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-30%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46.5%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-50.9%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7.8%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37.3%</w:t>
            </w:r>
          </w:p>
        </w:tc>
      </w:tr>
    </w:tbl>
    <w:p>
      <w:pPr>
        <w:spacing w:after="0"/>
      </w:pPr>
    </w:p>
    <w:p>
      <w:pPr>
        <w:keepNext/>
        <w:spacing w:before="120" w:after="60"/>
        <w:jc w:val="center"/>
      </w:pPr>
      <w:r>
        <w:drawing>
          <wp:inline xmlns:a="http://schemas.openxmlformats.org/drawingml/2006/main" xmlns:pic="http://schemas.openxmlformats.org/drawingml/2006/picture">
            <wp:extent cx="5577840" cy="3253740"/>
            <wp:docPr id="6" name="Picture 6"/>
            <wp:cNvGraphicFramePr>
              <a:graphicFrameLocks noChangeAspect="1"/>
            </wp:cNvGraphicFramePr>
            <a:graphic>
              <a:graphicData uri="http://schemas.openxmlformats.org/drawingml/2006/picture">
                <pic:pic>
                  <pic:nvPicPr>
                    <pic:cNvPr id="0" name="12_stop_loss_daily_close_audit.png"/>
                    <pic:cNvPicPr/>
                  </pic:nvPicPr>
                  <pic:blipFill>
                    <a:blip r:embed="rId14"/>
                    <a:stretch>
                      <a:fillRect/>
                    </a:stretch>
                  </pic:blipFill>
                  <pic:spPr>
                    <a:xfrm>
                      <a:off x="0" y="0"/>
                      <a:ext cx="5577840" cy="3253740"/>
                    </a:xfrm>
                    <a:prstGeom prst="rect"/>
                  </pic:spPr>
                </pic:pic>
              </a:graphicData>
            </a:graphic>
          </wp:inline>
        </w:drawing>
      </w:r>
    </w:p>
    <w:p>
      <w:pPr>
        <w:pStyle w:val="FigureCaption"/>
        <w:jc w:val="center"/>
      </w:pPr>
      <w:r>
        <w:rPr>
          <w:rFonts w:ascii="Malgun Gothic" w:hAnsi="Malgun Gothic" w:eastAsia="Malgun Gothic"/>
          <w:color w:val="595959"/>
          <w:sz w:val="18"/>
        </w:rPr>
        <w:t>그림 5. 일별 종가 손절 규칙의 조건부 표본 비교</w:t>
      </w:r>
    </w:p>
    <w:p>
      <w:pPr>
        <w:spacing w:after="160" w:line="320" w:lineRule="auto"/>
      </w:pPr>
      <w:r>
        <w:rPr>
          <w:rFonts w:ascii="Malgun Gothic" w:hAnsi="Malgun Gothic" w:eastAsia="Malgun Gothic"/>
          <w:sz w:val="22"/>
        </w:rPr>
        <w:t>-10% 규칙은 최대낙폭을 7.6%p 낮췄다. 하지만 이 결과를 ‘-10%가 최적 손절선’이라고 읽으면 안 된다. 손절이 발생한 보유-월은 35.4%였고, 그중 41.9%는 월말까지 계속 보유했을 때 손절 청산가보다 높은 가격으로 끝났다. 손절은 상당수의 반등을 포기하는 대신, 큰 낙폭 구간에서 현금으로 이동한 규칙이다.</w:t>
      </w:r>
    </w:p>
    <w:p>
      <w:pPr>
        <w:spacing w:after="160" w:line="320" w:lineRule="auto"/>
      </w:pPr>
      <w:r>
        <w:rPr>
          <w:rFonts w:ascii="Malgun Gothic" w:hAnsi="Malgun Gothic" w:eastAsia="Malgun Gothic"/>
          <w:sz w:val="22"/>
        </w:rPr>
        <w:t>-20%는 CAGR이 47.9%로 가장 높게 보이지만 MDD는 손절 없음과 거의 같다. -30%는 CAGR과 MDD가 모두 나빠졌다. 기준을 느슨하게 만들수록 손절 횟수는 줄지만 보호 효과도 사라진다. 기준을 엄격하게 만들수록 MDD는 줄어들 수 있지만, 반등 종목을 더 많이 놓친다. 이 결과에는 단조롭게 좋은 손절선이 없었다.</w:t>
      </w:r>
    </w:p>
    <w:p>
      <w:pPr>
        <w:spacing w:after="160" w:line="320" w:lineRule="auto"/>
      </w:pPr>
      <w:r>
        <w:rPr>
          <w:rFonts w:ascii="Malgun Gothic" w:hAnsi="Malgun Gothic" w:eastAsia="Malgun Gothic"/>
          <w:sz w:val="22"/>
        </w:rPr>
        <w:t>여기서 더 중요한 숫자는 41.9%다. 손절된 종목 열 개 중 네 개 이상이 그 달 말에는 손절 청산가보다 높았다. 이 비율은 손절이 틀렸다는 뜻이 아니다. 손절은 개별 종목의 방향을 맞히는 규칙이 아니라, 포트폴리오가 감당할 수 없는 손실 경로를 잘라내는 규칙이라는 뜻이다. 따라서 손절의 평가는 평균 수익률 하나가 아니라 MDD, 손절 빈도, 반등 포기, 현금 체류기간을 함께 놓고 해야 한다.</w:t>
      </w:r>
    </w:p>
    <w:p>
      <w:pPr>
        <w:spacing w:after="160" w:line="320" w:lineRule="auto"/>
      </w:pPr>
      <w:r>
        <w:rPr>
          <w:rFonts w:ascii="Malgun Gothic" w:hAnsi="Malgun Gothic" w:eastAsia="Malgun Gothic"/>
          <w:sz w:val="22"/>
        </w:rPr>
        <w:t>손절 연구에는 이 글의 다른 한계보다 더 엄격한 경계가 있다. 일별 종가 기준의 다음 거래일 청산은 장중 손절 주문과 다르다. 갭 하락, 하한가, 거래정지, 호가 스프레드가 큰 날에는 실제 청산이 더 늦거나 더 불리할 수 있다. 종료사건의 현금 결제값도 이 조건부 표본에서는 해결되지 않는다. 그래서 이 결과는 ‘손절매를 쓰라’는 추천이 아니라, 소형주 전략의 손실을 통제하는 방법을 논할 때 어떤 데이터를 추가해야 하는지 보여 주는 첫 번째 반증이다.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참여율 민감도 실험: https://github.com/Rowoon-Lee5/metric_studio_by_moon/blob/main/experiments/participation_sensitivity.py</w:t>
      </w:r>
    </w:p>
    <w:p>
      <w:pPr>
        <w:pStyle w:val="ListBullet"/>
        <w:spacing w:after="80"/>
      </w:pPr>
      <w:r>
        <w:rPr>
          <w:rFonts w:ascii="Malgun Gothic" w:hAnsi="Malgun Gothic" w:eastAsia="Malgun Gothic"/>
          <w:color w:val="373737"/>
          <w:sz w:val="19"/>
        </w:rPr>
        <w:t>일별 종가 손절 감사: https://github.com/Rowoon-Lee5/metric_studio_by_moon/blob/main/experiments/stop_loss_daily_close_audit.py</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책이 인기주의 예후를 말할 때도 핵심은 ‘사람들이 많이 보는 종목은 나쁘다’는 도덕적 결론이 아니다. 제레미 그랜덤이 말한 경력 위험은 성장주를 고르는 일이 틀려도 설명하기 쉽고, 덜 인기 있는 종목을 고르는 일은 맞아도 오래 설명해야 한다는 비대칭을 가리킨다. 인기라는 말 속에는 뉴스 노출, 투자자의 기대, 기관의 책임 회피, 자금 유입이 한꺼번에 들어 있다. 나는 거래회전율 하나로 이 모든 것을 측정할 수 있다고 생각했다.</w:t>
      </w:r>
    </w:p>
    <w:p>
      <w:pPr>
        <w:spacing w:after="160" w:line="320" w:lineRule="auto"/>
      </w:pPr>
      <w:r>
        <w:rPr>
          <w:rFonts w:ascii="Malgun Gothic" w:hAnsi="Malgun Gothic" w:eastAsia="Malgun Gothic"/>
          <w:sz w:val="22"/>
        </w:rPr>
        <w:t>그래서 회전율 하위 10%를 제외한 뒤 회전율 상위 종목을 관심주라고 부르는 방식이 특히 위험했다. 앞에서는 거래하기 어려운 종목을 제외하는 유동성 필터로 쓰고, 뒤에서는 투자자의 심리를 설명하는 변수로 썼다. 같은 변수를 앞에서는 실행 제약으로, 뒤에서는 행동경제학적 원인으로 쓴 셈이다. 이 둘을 분리하지 않으면 결과가 나왔을 때 무엇이 원인인지 알 수 없다.</w:t>
      </w:r>
    </w:p>
    <w:p>
      <w:pPr>
        <w:spacing w:after="160" w:line="320" w:lineRule="auto"/>
      </w:pPr>
      <w:r>
        <w:rPr>
          <w:rFonts w:ascii="Malgun Gothic" w:hAnsi="Malgun Gothic" w:eastAsia="Malgun Gothic"/>
          <w:sz w:val="22"/>
        </w:rPr>
        <w:t>거래회전율의 분모도 이 문제를 더 복잡하게 만든다. 같은 거래량이라도 상장주식 수가 많은 기업과 적은 기업의 회전율은 달라진다. 실제 시장에서 거래되는 유통물량, 최대주주의 장기 보유, 증자와 감자 같은 자본 변화까지 생각하면 회전율은 단순히 ‘얼마나 활발히 거래됐는가’라고 부르기 어려운 비율이 된다. 내가 사용한 회전율은 관측 가능한 거래량과 주식 수로 계산한 값일 뿐, 투자자가 주목한 정도를 직접 측정한 값이 아니다.</w:t>
      </w:r>
    </w:p>
    <w:p>
      <w:pPr>
        <w:spacing w:after="160" w:line="320" w:lineRule="auto"/>
      </w:pPr>
      <w:r>
        <w:rPr>
          <w:rFonts w:ascii="Malgun Gothic" w:hAnsi="Malgun Gothic" w:eastAsia="Malgun Gothic"/>
          <w:sz w:val="22"/>
        </w:rPr>
        <w:t>뉴스량을 붙인 뒤에도 같은 경계를 유지했다. 기사 수가 많다고 해서 독자가 그 기사를 읽었다는 뜻은 아니다. 같은 제목을 반복 송출한 기사와 기업의 실질적인 정보 환경은 다르다. 뉴스 패널이 덮는 종목도 시장 전체의 무작위 표본이 아니다. 그래서 뉴스량을 ‘진짜 관심’, 회전율을 ‘가짜 관심’이라고 두고 승자를 고르지 않았다. 서로 다른 방식으로 관측한 두 변수가 실제로 같은 종목을 가리키는지부터 확인했다.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7" name="Picture 7"/>
            <wp:cNvGraphicFramePr>
              <a:graphicFrameLocks noChangeAspect="1"/>
            </wp:cNvGraphicFramePr>
            <a:graphic>
              <a:graphicData uri="http://schemas.openxmlformats.org/drawingml/2006/picture">
                <pic:pic>
                  <pic:nvPicPr>
                    <pic:cNvPr id="0" name="03_observed_news_attention.png"/>
                    <pic:cNvPicPr/>
                  </pic:nvPicPr>
                  <pic:blipFill>
                    <a:blip r:embed="rId15"/>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spacing w:after="160" w:line="320" w:lineRule="auto"/>
      </w:pPr>
      <w:r>
        <w:rPr>
          <w:rFonts w:ascii="Malgun Gothic" w:hAnsi="Malgun Gothic" w:eastAsia="Malgun Gothic"/>
          <w:sz w:val="22"/>
        </w:rPr>
        <w:t>이 구분은 투자 판단에도 직접 연결된다. 뉴스가 많고 개인 순매수가 늘며 호가가 얇아진 종목은 기대가 한쪽으로 쏠린 상황일 수 있다. 반대로 뉴스는 없는데 회전율만 높은 종목은 기관의 기계적 주문이나 큰 주주의 거래일 수 있다. 표면적으로는 둘 다 ‘활발한 종목’이지만, 다음 달 수익률을 해석할 때 필요한 질문은 전혀 다르다. 전자에서는 정보가 이미 가격에 반영됐는지, 후자에서는 주문 충격이 언제 사라지는지를 봐야 한다.</w:t>
      </w:r>
    </w:p>
    <w:p>
      <w:pPr>
        <w:spacing w:after="160" w:line="320" w:lineRule="auto"/>
      </w:pPr>
      <w:r>
        <w:rPr>
          <w:rFonts w:ascii="Malgun Gothic" w:hAnsi="Malgun Gothic" w:eastAsia="Malgun Gothic"/>
          <w:sz w:val="22"/>
        </w:rPr>
        <w:t>여기서부터 관심도는 하나의 팩터가 아니라 측정 설계의 문제가 된다. 어떤 변수를 쓰는가에 따라 관심주의 표본이 달라지고, 표본이 달라지면 인기주의 성과도 달라진다. 나는 2편에서 인기주 효과를 발견했다고 주장하지 않는다. 오히려 같은 이름 아래 묶여 있던 종목들을 분리하지 않은 채 효과를 말했던 이전 방식이 얼마나 약했는지를 확인했다. 이후에 검색량, 투자자별 순매수, 호가 스프레드를 받게 되더라도 먼저 확인할 것은 예측력이 아니라 이 변수들이 서로 같은 현상을 보고 있는지다.</w:t>
      </w:r>
    </w:p>
    <w:p>
      <w:pPr>
        <w:spacing w:after="160" w:line="320" w:lineRule="auto"/>
      </w:pPr>
      <w:r>
        <w:rPr>
          <w:rFonts w:ascii="Malgun Gothic" w:hAnsi="Malgun Gothic" w:eastAsia="Malgun Gothic"/>
          <w:sz w:val="22"/>
        </w:rPr>
        <w:t>책에서 말하는 인기주의 예후도 이 관점에서 다시 읽게 됐다. 인기주가 장기적으로 상대적으로 약했다는 관찰은, 사람이 많이 본 종목을 기계적으로 피하라는 규칙이 아니다. 기대가 이미 가격에 반영된 상태인지, 사람들이 그 종목을 좋아하지만 실제 매수 여력이 남아 있는지, 유행이 끝났을 때 누가 마지막 보유자가 되는지를 묻는 문제다. 관심이 과도한 기대를 뜻할 때와, 새 정보가 유입되는 속도를 뜻할 때의 가격 효과는 반대일 수도 있다.</w:t>
      </w:r>
    </w:p>
    <w:p>
      <w:pPr>
        <w:spacing w:after="160" w:line="320" w:lineRule="auto"/>
      </w:pPr>
      <w:r>
        <w:rPr>
          <w:rFonts w:ascii="Malgun Gothic" w:hAnsi="Malgun Gothic" w:eastAsia="Malgun Gothic"/>
          <w:sz w:val="22"/>
        </w:rPr>
        <w:t>나는 이전에는 회전율 상위 그룹의 성과가 약하면 곧바로 ‘관심이 과열됐다’고 설명하고 싶었다. 그러나 회전율이 높은 달에 뉴스가 많았는지, 뉴스가 특정 산업에 집중됐는지, 기관과 개인 중 누가 거래했는지 확인하지 않으면 그 설명은 사후 서사에 가깝다. 똑같이 회전율이 높은 두 종목이 있어도, 하나는 호재 공시 직후 기관의 편입 수요일 수 있고 다른 하나는 악재 뒤 손절 물량일 수 있다. 두 경우를 관심이라는 한 단어로 묶은 순간, 수익률 차이는 설명되지 않는다.</w:t>
      </w:r>
    </w:p>
    <w:p>
      <w:pPr>
        <w:spacing w:after="160" w:line="320" w:lineRule="auto"/>
      </w:pPr>
      <w:r>
        <w:rPr>
          <w:rFonts w:ascii="Malgun Gothic" w:hAnsi="Malgun Gothic" w:eastAsia="Malgun Gothic"/>
          <w:sz w:val="22"/>
        </w:rPr>
        <w:t>원천 뉴스 패널을 다시 연결하면서 데이터의 빈칸도 더 선명해졌다. 뉴스가 없는 달은 실제로 아무 정보도 없었던 달이 아니라, 내가 수집한 원천에서 해당 종목의 헤드라인을 관측하지 못한 달일 수 있다. 뉴스량은 기사 내용의 긍정·부정을 구분하지 않고, 조회 수나 검색량도 알지 못한다. 그래서 2편의 결과는 관심을 측정했다는 선언이 아니라, 기존 회전율 해석이 얼마나 많은 관측 불가능한 요소를 품고 있었는지 밝힌 기록이다.</w:t>
      </w:r>
    </w:p>
    <w:p>
      <w:pPr>
        <w:spacing w:after="160" w:line="320" w:lineRule="auto"/>
      </w:pPr>
      <w:r>
        <w:rPr>
          <w:rFonts w:ascii="Malgun Gothic" w:hAnsi="Malgun Gothic" w:eastAsia="Malgun Gothic"/>
          <w:sz w:val="22"/>
        </w:rPr>
        <w:t>이 차이를 인정하면 다음 데이터 요구도 달라진다. 검색량을 붙이는 일은 단순히 변수를 하나 더 추가하는 일이 아니다. 검색량은 개인의 주목을, 투자자별 수급은 주문 주체를, 호가 불균형과 스프레드는 실제 거래 환경을 다르게 관측한다. 이 네 가지가 모두 같은 날 높아지는 경우와, 하나만 움직이는 경우를 분리해야만 관심이 가격에 남기는 효과를 질문할 수 있다. 2편에서 끝내지 않은 이유도 여기에 있다. 내가 버린 것은 하나의 변수보다, 관측하지 못한 것을 너무 쉽게 이름 붙이던 습관이다.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spacing w:after="160" w:line="320" w:lineRule="auto"/>
      </w:pPr>
      <w:r>
        <w:rPr>
          <w:rFonts w:ascii="Malgun Gothic" w:hAnsi="Malgun Gothic" w:eastAsia="Malgun Gothic"/>
          <w:sz w:val="22"/>
        </w:rPr>
        <w:t>내가 모멘텀을 유난히 중요하게 본 이유도 가격이 여러 정보를 가장 빠르게 압축한다고 생각했기 때문이다. 재무제표, 업황, 수급, 투자자의 기대가 결국 가격 변화로 드러난다면, 모멘텀은 다른 팩터보다 한 단계 위의 신호처럼 보인다. 하지만 지난 프로젝트에서 내가 사용한 한국 주식 표본에서는 그 모멘텀 성과가 기대보다 약했다. 이 결과를 보고 모멘텀이 틀렸다고 결론 내리기보다, 저평가·수익성 같은 재무 기준을 덧붙이면 약점을 보완할 수 있을 것이라고 생각했다.</w:t>
      </w:r>
    </w:p>
    <w:p>
      <w:pPr>
        <w:spacing w:after="160" w:line="320" w:lineRule="auto"/>
      </w:pPr>
      <w:r>
        <w:rPr>
          <w:rFonts w:ascii="Malgun Gothic" w:hAnsi="Malgun Gothic" w:eastAsia="Malgun Gothic"/>
          <w:sz w:val="22"/>
        </w:rPr>
        <w:t>그때 내가 놓친 것은 필터를 더 붙일수록 전략의 설명은 좋아질 수 있어도 증거의 독립성이 자동으로 늘지는 않는다는 점이다. 재무제표에서 나온 PER·ROE와 가격에서 나온 모멘텀은 출발점이 다를 수 있다. 반면 이번 실험의 저변동성·모멘텀·반전·소형주 신호는 모두 수정주가·거래량·시가총액 패널에서 출발했다. 이 글은 서로 다른 정보원을 합친 앙상블을 평가한 글이 아니라, 하나의 정보원을 여러 방식으로 읽은 모델들이 합의할 때 무슨 일이 생기는지를 본 글이다.</w:t>
      </w:r>
    </w:p>
    <w:p>
      <w:pPr>
        <w:spacing w:after="160" w:line="320" w:lineRule="auto"/>
      </w:pPr>
      <w:r>
        <w:rPr>
          <w:rFonts w:ascii="Malgun Gothic" w:hAnsi="Malgun Gothic" w:eastAsia="Malgun Gothic"/>
          <w:sz w:val="22"/>
        </w:rPr>
        <w:t>필터와 신호를 구분하지 않으면 이 문제는 더 잘 숨는다. 거래회전율 하위 종목을 제외하는 일은 거래하기 어려운 종목을 먼저 제거하는 필터다. 모멘텀이나 반전은 남은 종목의 순위를 매기는 신호다. 소형주도 어떤 경우에는 투자 가능 범위를 제한하는 기준이 되고, 어떤 경우에는 의도적으로 작은 종목에 비중을 주는 신호가 된다. 이 역할이 바뀌면 같은 ‘조건 추가’라도 포트폴리오가 달라지는 이유가 달라진다.</w:t>
      </w:r>
    </w:p>
    <w:p>
      <w:pPr>
        <w:spacing w:after="160" w:line="320" w:lineRule="auto"/>
      </w:pPr>
      <w:r>
        <w:rPr>
          <w:rFonts w:ascii="Malgun Gothic" w:hAnsi="Malgun Gothic" w:eastAsia="Malgun Gothic"/>
          <w:sz w:val="22"/>
        </w:rPr>
        <w:t>나는 과거에 기준을 하나 더 붙였다는 사실만으로 위험이 줄었다고 생각했다. 하지만 필터를 추가하면 남는 종목 수가 줄고, 신호를 합치면 선택 종목이 특정한 시장 특성에 더 집중될 수 있다. 여러 기준을 통과한 종목이 더 좋은 기업이라는 결론은, 그 기준들이 실제로 독립적인 정보를 담고 있고 표본을 지나치게 줄이지 않는다는 조건에서만 가능하다. 그 조건을 확인하지 않은 합의는 보수적인 선택이 아니라, 더 좁은 베팅일 수 있다.</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8" name="Picture 8"/>
            <wp:cNvGraphicFramePr>
              <a:graphicFrameLocks noChangeAspect="1"/>
            </wp:cNvGraphicFramePr>
            <a:graphic>
              <a:graphicData uri="http://schemas.openxmlformats.org/drawingml/2006/picture">
                <pic:pic>
                  <pic:nvPicPr>
                    <pic:cNvPr id="0" name="04_model_consensus_cumulative.png"/>
                    <pic:cNvPicPr/>
                  </pic:nvPicPr>
                  <pic:blipFill>
                    <a:blip r:embed="rId16"/>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합의 포트폴리오의 실패는 그래서 더 불편했다. 모델을 많이 통과한 종목만 골랐으니 좋은 종목을 압축했다고 생각했다. 실제로는 모델들이 공통으로 선호하는 특성에 포트폴리오를 더 강하게 집중시켰다. 구성요소 전략을 평균낸 벤치마크가 양의 성과를 낸 것은, 같은 재료 자체가 전부 무의미했다는 뜻이 아니라 ‘합의가 높을수록 안전하다’는 압축 규칙이 잘못됐다는 뜻이다. 이 차이를 구분하지 않으면, 모델 추가와 포트폴리오 분산을 같은 작업으로 착각하게 된다.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spacing w:after="160" w:line="320" w:lineRule="auto"/>
      </w:pPr>
      <w:r>
        <w:rPr>
          <w:rFonts w:ascii="Malgun Gothic" w:hAnsi="Malgun Gothic" w:eastAsia="Malgun Gothic"/>
          <w:sz w:val="22"/>
        </w:rPr>
        <w:t>독립성은 선택 종목의 겹침만으로 판정할 수 없다. 두 모델이 같은 종목을 거의 고르지 않아도, 둘 다 유동성이 마를 때 약한 종목을 고른다면 손실은 같은 달에 나타날 수 있다. 반대로 일부 종목이 겹쳐도, 한 모델은 가격 추세를 보고 다른 모델은 공시 이후의 재무 변화를 본다면 겹침 자체가 같은 오류를 뜻하지는 않는다. 내가 앞으로 확인하려는 것은 ‘몇 표를 받았는가’가 아니라, 각 표가 어떤 데이터 생성 과정에서 왔고 어느 손실 구간에서 함께 무너지는가다.</w:t>
      </w:r>
    </w:p>
    <w:p>
      <w:pPr>
        <w:spacing w:after="160" w:line="320" w:lineRule="auto"/>
      </w:pPr>
      <w:r>
        <w:rPr>
          <w:rFonts w:ascii="Malgun Gothic" w:hAnsi="Malgun Gothic" w:eastAsia="Malgun Gothic"/>
          <w:sz w:val="22"/>
        </w:rPr>
        <w:t>이 때문에 재무 데이터를 붙이는 일도 단순히 모델을 하나 더 추가하는 작업이 아니다. PER와 ROE를 현재 값으로 붙이면, 당시 투자자가 아직 알 수 없었던 공시 정보를 과거에 가져오는 오류가 생길 수 있다. 공시일, 보고서 정정, 재무제표 발표 지연까지 맞춘 시점일치 데이터가 필요하다. 가격 신호와 재무 신호의 합의를 검증하려면, 두 모델이 다른 데이터를 쓴다는 사실뿐 아니라 각 데이터가 실제로 그 시점에 이용 가능했는지도 확인해야 한다.</w:t>
      </w:r>
    </w:p>
    <w:p>
      <w:pPr>
        <w:spacing w:after="160" w:line="320" w:lineRule="auto"/>
      </w:pPr>
      <w:r>
        <w:rPr>
          <w:rFonts w:ascii="Malgun Gothic" w:hAnsi="Malgun Gothic" w:eastAsia="Malgun Gothic"/>
          <w:sz w:val="22"/>
        </w:rPr>
        <w:t>그래서 3편의 실패는 끝이 아니라 설계 제약이다. 가격·거래량·시가총액만으로 만든 모델의 합의는 알파가 아니었다. 다음 모델은 더 많은 가격 파라미터가 아니라, 다른 관측 창에서 출발해야 한다. 그때에도 합의가 좋다고 바로 믿지는 않을 것이다. 합의 포트폴리오의 성과보다 먼저, 두 신호가 함께 틀리는 비율과 거래 가능한 종목 수가 어떻게 달라지는지부터 확인할 생각이다.</w:t>
      </w:r>
    </w:p>
    <w:p>
      <w:pPr>
        <w:spacing w:after="160" w:line="320" w:lineRule="auto"/>
      </w:pPr>
      <w:r>
        <w:rPr>
          <w:rFonts w:ascii="Malgun Gothic" w:hAnsi="Malgun Gothic" w:eastAsia="Malgun Gothic"/>
          <w:sz w:val="22"/>
        </w:rPr>
        <w:t>합의 포트폴리오를 만들 때는 이 중복이 특히 심해진다. 나는 반전·모멘텀·저변동성·소형주 신호에 유동성 기준과 보유 종목 수를 달리 적용한 모델들의 선택 횟수를 셌다. 겉으로는 많은 모델이 투표한 것처럼 보이지만, 한 신호의 기간이나 종목 수만 바꾼 모델들도 같은 종목에 표를 던질 수 있다. 이 표는 독립적인 연구자들의 판단이 아니라, 하나의 가격 패널에서 만들어진 유사한 규칙들의 반복일 수 있다.</w:t>
      </w:r>
    </w:p>
    <w:p>
      <w:pPr>
        <w:spacing w:after="160" w:line="320" w:lineRule="auto"/>
      </w:pPr>
      <w:r>
        <w:rPr>
          <w:rFonts w:ascii="Malgun Gothic" w:hAnsi="Malgun Gothic" w:eastAsia="Malgun Gothic"/>
          <w:sz w:val="22"/>
        </w:rPr>
        <w:t>그래서 평균 13.8표를 받은 상위 30종목이라는 숫자는 처음에는 강한 확신처럼 보였지만, 지금은 다른 뜻으로 읽힌다. 많은 모델이 동의했다는 사실은 그 종목이 여러 위험을 통과했다는 뜻이 아니라, 내가 만든 모델 집합이 같은 특성을 반복적으로 선호했다는 뜻일 수 있다. 합의가 높은 종목만 남기는 순간 포트폴리오는 넓어지는 것이 아니라 오히려 더 좁아진다. 여러 모델의 평균이 남기는 분산 효과를 버리고, 공통된 선호를 가장 강하게 보유하게 되는 것이다.</w:t>
      </w:r>
    </w:p>
    <w:p>
      <w:pPr>
        <w:spacing w:after="160" w:line="320" w:lineRule="auto"/>
      </w:pPr>
      <w:r>
        <w:rPr>
          <w:rFonts w:ascii="Malgun Gothic" w:hAnsi="Malgun Gothic" w:eastAsia="Malgun Gothic"/>
          <w:sz w:val="22"/>
        </w:rPr>
        <w:t>이 실험에서 구성요소 전략 평균의 CAGR이 양수였는데 합의 포트폴리오가 음수였다는 결과가 중요한 이유도 여기에 있다. 모델을 조합하는 방법은 하나가 아니다. 같은 48개 전략을 평균내는 일과, 모두가 고른 종목만 압축하는 일은 전혀 다른 포트폴리오를 만든다. 전자는 개별 오류를 희석할 수 있지만, 후자는 공통 오류를 증폭할 수 있다. ‘앙상블’이라는 이름으로 두 작업을 같은 것으로 부르면, 왜 결과가 달라졌는지 보이지 않는다.</w:t>
      </w:r>
    </w:p>
    <w:p>
      <w:pPr>
        <w:spacing w:after="160" w:line="320" w:lineRule="auto"/>
      </w:pPr>
      <w:r>
        <w:rPr>
          <w:rFonts w:ascii="Malgun Gothic" w:hAnsi="Malgun Gothic" w:eastAsia="Malgun Gothic"/>
          <w:sz w:val="22"/>
        </w:rPr>
        <w:t>앞으로 재무·뉴스·공시 데이터를 붙이더라도 단순히 표를 합산하지 않을 것이다. 먼저 각 데이터가 그 시점에 실제로 이용 가능했는지 확인하고, 그 신호가 가격 신호와 같은 종목을 고르는지, 같은 달에 실패하는지, 손실 구간에서 어떤 역할을 하는지 비교해야 한다. 신호의 수보다 중요한 것은 독립적인 오류의 수다. 나는 다음 모델에서 더 높은 합의 점수를 찾는 대신, 어떤 합의가 중복이고 어떤 합의가 새로운 증거인지 구분하는 기준부터 만들 생각이다.</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실험 해석과 제한: https://github.com/Rowoon-Lee5/metric_studio_by_moon/blob/main/results/meta_structure_report.json</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spacing w:after="160" w:line="320" w:lineRule="auto"/>
      </w:pPr>
      <w:r>
        <w:rPr>
          <w:rFonts w:ascii="Malgun Gothic" w:hAnsi="Malgun Gothic" w:eastAsia="Malgun Gothic"/>
          <w:sz w:val="22"/>
        </w:rPr>
        <w:t>내가 백테스트를 하며 가장 자주 한 행동도 승자를 고르는 일이었다. 기간을 조금 바꾸면 모멘텀이 앞섰고, 유동성 기준을 바꾸면 반전이 다시 좋아 보였다. 그때마다 더 좋은 파라미터를 찾으려 했다. 이번에는 그 경쟁의 승자를 고르지 않고, 후보들이 함께 약해지는 순간 자체를 데이터로 만들기로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책이 보여 준 상반된 결과는 이 의심을 더 크게 만들었다. 어떤 표본에서는 많이 오른 종목이 더 오르는 모멘텀이 강하게 보이고, 다른 표본에서는 적당히 오른 중간 그룹의 이후 수익률이 더 높다. 최근에 가장 많이 오른 그룹과 가장 적게 오른 그룹의 수익률이 모두 낮게 나오는 경우도 있다. 이 세 결과 중 하나만 읽으면 시장의 법칙처럼 보인다. 세 결과를 함께 읽으면, 먼저 표본·기간·유니버스·보유기간을 물어야 한다는 뜻이 된다.</w:t>
      </w:r>
    </w:p>
    <w:p>
      <w:pPr>
        <w:spacing w:after="160" w:line="320" w:lineRule="auto"/>
      </w:pPr>
      <w:r>
        <w:rPr>
          <w:rFonts w:ascii="Malgun Gothic" w:hAnsi="Malgun Gothic" w:eastAsia="Malgun Gothic"/>
          <w:sz w:val="22"/>
        </w:rPr>
        <w:t>나는 이 문제를 모멘텀의 기간을 더 잘 고르는 문제로 풀고 싶었다. 6개월 대신 12개월을 쓰고, 1개월 반전을 더하고, 유동성 기준을 조금 바꾸면 과거 성과는 계속 달라진다. 하지만 가장 높은 숫자를 고르는 과정은 전략을 발견하는 과정이 아니라, 사후적으로 가장 잘 설명되는 파라미터를 고르는 과정이 될 수 있다. 그래서 4편에서는 모멘텀과 반전 중 어느 쪽이 맞는지 말하지 않는다. 둘을 포함한 여러 신호가 언제 함께 약해지는지를 먼저 본다.</w:t>
      </w:r>
    </w:p>
    <w:p>
      <w:pPr>
        <w:spacing w:after="160" w:line="320" w:lineRule="auto"/>
      </w:pPr>
      <w:r>
        <w:rPr>
          <w:rFonts w:ascii="Malgun Gothic" w:hAnsi="Malgun Gothic" w:eastAsia="Malgun Gothic"/>
          <w:sz w:val="22"/>
        </w:rPr>
        <w:t>이 전환에는 한 가지 실무적인 이유도 있다. 모델 하나가 부진할 때는 그 모델의 문제일 수 있다. 반전이 약한 달에 모멘텀이 정상적으로 작동한다면, 단순히 두 신호의 성격이 다른 것일 수 있다. 하지만 반전·모멘텀·저변동성·소형주가 같은 달에 모두 기대보다 크게 부진하다면 이야기가 달라진다. 개별 전략의 파라미터보다, 여러 전략이 공유하는 시장 환경이나 데이터의 한계가 먼저 의심된다.</w:t>
      </w:r>
    </w:p>
    <w:p>
      <w:pPr>
        <w:spacing w:after="160" w:line="320" w:lineRule="auto"/>
      </w:pPr>
      <w:r>
        <w:rPr>
          <w:rFonts w:ascii="Malgun Gothic" w:hAnsi="Malgun Gothic" w:eastAsia="Malgun Gothic"/>
          <w:sz w:val="22"/>
        </w:rPr>
        <w:t>그래서 실패를 수익률이 음수인 달로 단순화하지 않았다. 각 신호의 현재 수익률을 직전 36개월의 자기 분포와 비교했다. 평소 성과에서 한 표준편차 이상 아래로 밀린 달만 실패로 표시했다. 이 기준도 정답은 아니다. 다만 상승장이든 하락장이든, 각 모델이 자기 기준에서 예상보다 크게 벗어난 순간을 같은 척도로 세기 위한 장치다. 시장 수익률의 방향과 모델의 실패를 구분하려 한 이유도 여기에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9" name="Picture 9"/>
            <wp:cNvGraphicFramePr>
              <a:graphicFrameLocks noChangeAspect="1"/>
            </wp:cNvGraphicFramePr>
            <a:graphic>
              <a:graphicData uri="http://schemas.openxmlformats.org/drawingml/2006/picture">
                <pic:pic>
                  <pic:nvPicPr>
                    <pic:cNvPr id="0" name="05_model_failure_coherence.png"/>
                    <pic:cNvPicPr/>
                  </pic:nvPicPr>
                  <pic:blipFill>
                    <a:blip r:embed="rId17"/>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공동 실패가 데이터 오류일 가능성도 남아 있다. 모든 신호가 같은 수정주가 패널과 월말 리밸런싱 규칙을 공유하기 때문에, 특정 월의 가격 처리 방식이나 거래 불가능 종목의 처리 오류가 여러 모델을 동시에 흔들 수 있다. 그래서 공동 실패를 곧바로 시장 국면이라고 부르지 않았다. 기간을 나눠 방향이 유지되는지 보고, 이후에는 뉴스·공시·호가처럼 다른 생성 과정에서 나온 데이터와 교차 검증해야 한다. 이 작업이 끝나기 전까지 공동 실패는 매매 신호가 아니라, 내가 사용한 설명들이 동시에 약해졌다는 경고다.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spacing w:after="160" w:line="320" w:lineRule="auto"/>
      </w:pPr>
      <w:r>
        <w:rPr>
          <w:rFonts w:ascii="Malgun Gothic" w:hAnsi="Malgun Gothic" w:eastAsia="Malgun Gothic"/>
          <w:sz w:val="22"/>
        </w:rPr>
        <w:t>이 시도는 시장을 정규분포의 평균과 분산으로만 요약하는 방식에도 거리를 둔다. 평균수익률과 변동성은 필요하지만, 극단적인 손실이 어느 신호에서 동시에 나타났는지는 따로 알려 주지 않는다. 같은 표준편차의 움직임이라도 하나의 전략만 흔들린 달과 네 전략이 함께 기대를 배반한 달은 운용자가 마주하는 위험이 다르다. 그래서 나는 시장 상태를 수익률의 크기만으로 부르지 않고, 모델 실패의 동시성으로도 기록해 보려 한다.</w:t>
      </w:r>
    </w:p>
    <w:p>
      <w:pPr>
        <w:spacing w:after="160" w:line="320" w:lineRule="auto"/>
      </w:pPr>
      <w:r>
        <w:rPr>
          <w:rFonts w:ascii="Malgun Gothic" w:hAnsi="Malgun Gothic" w:eastAsia="Malgun Gothic"/>
          <w:sz w:val="22"/>
        </w:rPr>
        <w:t>다만 실패 개수가 높을 때 현금을 늘리거나 포지션을 줄이는 규칙을 지금 만들지는 않는다. 관측 수가 적은 상태에서 규칙을 만들면, 위기 이후의 몇 달을 정확히 설명하는 대신 다음 위기에서는 전혀 다른 방식으로 실패할 수 있다. 이 글에서 남긴 수치는 ‘공동 실패가 위험하다’는 매매 명령이 아니라, 다음 검증에서 버려지거나 살아남을 수 있는 가설이다.</w:t>
      </w:r>
    </w:p>
    <w:p>
      <w:pPr>
        <w:spacing w:after="160" w:line="320" w:lineRule="auto"/>
      </w:pPr>
      <w:r>
        <w:rPr>
          <w:rFonts w:ascii="Malgun Gothic" w:hAnsi="Malgun Gothic" w:eastAsia="Malgun Gothic"/>
          <w:sz w:val="22"/>
        </w:rPr>
        <w:t>내가 더 궁금한 것은 공동 실패의 원인이다. 뉴스가 한 종목군에 집중된 날인지, 특정 공시가 시장 전체의 기대를 바꾼 날인지, 호가 스프레드가 넓어져 어떤 모델도 원래 가격에 거래할 수 없던 날인지에 따라 대응은 달라진다. 가격 신호만으로 만든 실패 지표는 원인을 말해 주지 않는다. 그래서 이 글의 다음 단계는 더 복잡한 예측 모델이 아니라, 실패한 달의 정보 환경을 복원하는 작업이다.</w:t>
      </w:r>
    </w:p>
    <w:p>
      <w:pPr>
        <w:spacing w:after="160" w:line="320" w:lineRule="auto"/>
      </w:pPr>
      <w:r>
        <w:rPr>
          <w:rFonts w:ascii="Malgun Gothic" w:hAnsi="Malgun Gothic" w:eastAsia="Malgun Gothic"/>
          <w:sz w:val="22"/>
        </w:rPr>
        <w:t>여기서 한 가지 더 조심할 점은 ‘한 표준편차 아래’를 정규분포의 확률처럼 해석하지 않는 것이다. 주식 수익률의 상승과 하락은 좌우 대칭이 아니고, 극단적인 손실은 평균과 분산만으로 충분히 설명되지 않는다. 내가 사용한 36개월 기준은 실패를 동일한 단위로 표시하기 위한 내부 기준일 뿐, 시장수익률이 정규분포를 따른다는 가정이 아니다. 이 구분을 하지 않으면 실패 상태라는 지표도 다시 익숙한 통계 언어로 시장의 비대칭성을 지워 버릴 수 있다.</w:t>
      </w:r>
    </w:p>
    <w:p>
      <w:pPr>
        <w:spacing w:after="160" w:line="320" w:lineRule="auto"/>
      </w:pPr>
      <w:r>
        <w:rPr>
          <w:rFonts w:ascii="Malgun Gothic" w:hAnsi="Malgun Gothic" w:eastAsia="Malgun Gothic"/>
          <w:sz w:val="22"/>
        </w:rPr>
        <w:t>책이 모멘텀과 반전에서 상반된 결과를 함께 보여 준 이유는 한 전략이 거짓이라는 뜻이 아니다. 같은 전략도 시장·기간·운용 방식이 달라지면 다른 보상을 받을 수 있다는 뜻이다. 나는 이 사실을 ‘한국에서는 모멘텀이 안 된다’는 결론으로 줄이고 싶었다. 하지만 내 데이터에서 약했던 모멘텀이 다른 기간에도 약한지, 비용을 넣은 뒤에도 약한지, 소형주와 대형주에서 같은지 확인하지 않은 결론은 시장의 법칙이 아니라 내 백테스트의 메모일 뿐이다.</w:t>
      </w:r>
    </w:p>
    <w:p>
      <w:pPr>
        <w:spacing w:after="160" w:line="320" w:lineRule="auto"/>
      </w:pPr>
      <w:r>
        <w:rPr>
          <w:rFonts w:ascii="Malgun Gothic" w:hAnsi="Malgun Gothic" w:eastAsia="Malgun Gothic"/>
          <w:sz w:val="22"/>
        </w:rPr>
        <w:t>공동 실패를 기록하는 방식은 이 성급한 일반화를 피하려는 시도다. 모멘텀이 이기는 달과 반전이 이기는 달을 미리 구분하지 않아도 된다. 대신 네 신호가 각자의 예상에서 얼마나 벗어났는지 보고, 같은 달에 설명력이 무너졌는지를 기록한다. 이 지표가 다음 달 시장수익률과 관계를 보인다면, 그것은 ‘어느 팩터를 사야 하는가’보다 앞선 질문, 즉 ‘현재 내가 의존하는 설명들이 동시에 취약해졌는가’를 다룰 수 있게 한다.</w:t>
      </w:r>
    </w:p>
    <w:p>
      <w:pPr>
        <w:spacing w:after="160" w:line="320" w:lineRule="auto"/>
      </w:pPr>
      <w:r>
        <w:rPr>
          <w:rFonts w:ascii="Malgun Gothic" w:hAnsi="Malgun Gothic" w:eastAsia="Malgun Gothic"/>
          <w:sz w:val="22"/>
        </w:rPr>
        <w:t>물론 이 접근도 새로운 과적합이 될 수 있다. 실패 기준을 36개월과 한 표준편차로 정한 것 역시 선택이고, 관측 수가 적은 극단 상태의 평균은 쉽게 흔들린다. 그래서 나는 상태 수를 더 잘게 쪼개거나 임계값을 계속 바꿔 가장 예쁜 그래프를 찾지 않았다. 시간 분할에서 방향이 유지되는지까지만 확인했고, 이후 검증은 다른 시장과 다른 정보원으로 넘겼다. 이 글의 가치는 위기 예측기를 만들었다는 데 있지 않다. 시장 국면을 가격의 결과가 아니라 모델의 실패 구조로 읽을 수 있다는, 검증 가능한 질문을 만든 데 있다.</w:t>
      </w:r>
    </w:p>
    <w:p>
      <w:pPr>
        <w:pStyle w:val="Heading2"/>
      </w:pPr>
      <w:r>
        <w:t>GitHub에서 확인할 수 있는 것</w:t>
      </w:r>
    </w:p>
    <w:p>
      <w:pPr>
        <w:pStyle w:val="ListBullet"/>
        <w:spacing w:after="80"/>
      </w:pPr>
      <w:r>
        <w:rPr>
          <w:rFonts w:ascii="Malgun Gothic" w:hAnsi="Malgun Gothic" w:eastAsia="Malgun Gothic"/>
          <w:color w:val="373737"/>
          <w:sz w:val="19"/>
        </w:rPr>
        <w:t>공동 실패 상태를 만드는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개수별 다음 달 시장수익률: https://github.com/Rowoon-Lee5/metric_studio_by_moon/blob/main/results/model_failure_state_summary.csv</w:t>
      </w:r>
    </w:p>
    <w:p>
      <w:pPr>
        <w:pStyle w:val="ListBullet"/>
        <w:spacing w:after="80"/>
      </w:pPr>
      <w:r>
        <w:rPr>
          <w:rFonts w:ascii="Malgun Gothic" w:hAnsi="Malgun Gothic" w:eastAsia="Malgun Gothic"/>
          <w:color w:val="373737"/>
          <w:sz w:val="19"/>
        </w:rPr>
        <w:t>기간을 나눈 뒤의 검증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