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이 글에서 말하는 유동성 기준은 이 순위의 어디에서 매수 후보를 자를지를 뜻한다.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가지 신호는 모두 가격·거래량·시가총액 패널에서 출발한다. 따라서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1568768"/>
            <wp:docPr id="3" name="Picture 3"/>
            <wp:cNvGraphicFramePr>
              <a:graphicFrameLocks noChangeAspect="1"/>
            </wp:cNvGraphicFramePr>
            <a:graphic>
              <a:graphicData uri="http://schemas.openxmlformats.org/drawingml/2006/picture">
                <pic:pic>
                  <pic:nvPicPr>
                    <pic:cNvPr id="0" name="01a_signal_stability.png"/>
                    <pic:cNvPicPr/>
                  </pic:nvPicPr>
                  <pic:blipFill>
                    <a:blip r:embed="rId11"/>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1. 신호별 안정적인 조합 수</w:t>
      </w:r>
    </w:p>
    <w:p>
      <w:pPr>
        <w:keepNext/>
        <w:spacing w:before="120" w:after="60"/>
        <w:jc w:val="center"/>
      </w:pPr>
      <w:r>
        <w:drawing>
          <wp:inline xmlns:a="http://schemas.openxmlformats.org/drawingml/2006/main" xmlns:pic="http://schemas.openxmlformats.org/drawingml/2006/picture">
            <wp:extent cx="5577840" cy="1568768"/>
            <wp:docPr id="4" name="Picture 4"/>
            <wp:cNvGraphicFramePr>
              <a:graphicFrameLocks noChangeAspect="1"/>
            </wp:cNvGraphicFramePr>
            <a:graphic>
              <a:graphicData uri="http://schemas.openxmlformats.org/drawingml/2006/picture">
                <pic:pic>
                  <pic:nvPicPr>
                    <pic:cNvPr id="0" name="01b_liquidity_stability.png"/>
                    <pic:cNvPicPr/>
                  </pic:nvPicPr>
                  <pic:blipFill>
                    <a:blip r:embed="rId12"/>
                    <a:stretch>
                      <a:fillRect/>
                    </a:stretch>
                  </pic:blipFill>
                  <pic:spPr>
                    <a:xfrm>
                      <a:off x="0" y="0"/>
                      <a:ext cx="5577840" cy="1568768"/>
                    </a:xfrm>
                    <a:prstGeom prst="rect"/>
                  </pic:spPr>
                </pic:pic>
              </a:graphicData>
            </a:graphic>
          </wp:inline>
        </w:drawing>
      </w:r>
    </w:p>
    <w:p>
      <w:pPr>
        <w:pStyle w:val="FigureCaption"/>
        <w:jc w:val="center"/>
      </w:pPr>
      <w:r>
        <w:rPr>
          <w:rFonts w:ascii="Malgun Gothic" w:hAnsi="Malgun Gothic" w:eastAsia="Malgun Gothic"/>
          <w:color w:val="595959"/>
          <w:sz w:val="18"/>
        </w:rPr>
        <w:t>그림 2. 유동성 유니버스별 안정적인 조합 수</w:t>
      </w:r>
    </w:p>
    <w:p>
      <w:pPr>
        <w:spacing w:after="160" w:line="320" w:lineRule="auto"/>
      </w:pPr>
      <w:r>
        <w:rPr>
          <w:rFonts w:ascii="Malgun Gothic" w:hAnsi="Malgun Gothic" w:eastAsia="Malgun Gothic"/>
          <w:sz w:val="22"/>
        </w:rPr>
        <w:t>위 그래프의 위쪽 막대는 신호별로 네 기준을 모두 통과한 조합 수를, 아래쪽 막대는 그 조합이 유동성 유니버스 어디에 있었는지를 보여 준다. 수익률 순위표가 아니라, 조건을 한 단계씩 바꾼 뒤에도 남은 조합의 분포다.</w:t>
      </w:r>
    </w:p>
    <w:p>
      <w:pPr>
        <w:spacing w:after="160" w:line="320" w:lineRule="auto"/>
      </w:pPr>
      <w:r>
        <w:rPr>
          <w:rFonts w:ascii="Malgun Gothic" w:hAnsi="Malgun Gothic" w:eastAsia="Malgun Gothic"/>
          <w:sz w:val="22"/>
        </w:rPr>
        <w:t>1개월 반전과 6개월 모멘텀에서는 통과 조합이 없었다. 저변동성은 유동성 상위 60~90%에서, 소형주는 상위 80~90%에서만 남았다. 유동성 범위를 넓히면 모든 신호가 좋아진다는 결론은 여기서 성립하지 않는다. 같은 유동성 조건도 어떤 신호와 결합하느냐에 따라 전혀 다른 제약이 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아직 결론으로 말할 수 없는 것</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