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상위 20%부터 100%까지 유니버스를 넓히고, 포트폴리오 규모와 비용 가정을 동시에 바꿨다.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00_연재_소개</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