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pStyle w:val="Heading2"/>
      </w:pPr>
      <w:r>
        <w:t>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단일 최적값일 수 있다. 반대로 인접한 조건에서도 비슷한 성과가 남는다면, 그 결과는 안정적인 구간이라고 볼 근거가 생긴다. 1편에서는 단일 최적값과 안정적인 구간을 구분해 본다.</w:t>
      </w:r>
    </w:p>
    <w:p>
      <w:pPr>
        <w:pStyle w:val="Heading2"/>
      </w:pPr>
      <w:r>
        <w:t>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pStyle w:val="Heading2"/>
      </w:pPr>
      <w:r>
        <w:t>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pStyle w:val="Heading2"/>
      </w:pPr>
      <w:r>
        <w:t>4. 시장 상태는 모델의 공동 실패로 읽을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표준화한 뒤, 공동 실패가 관측된 다음 달의 수익률을 별도로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공동 실패는 시장을 가격보다 먼저 보여 주는 지표가 아니다. 가격으로 계산한 실패는 월말이 지나야 알 수 있다. 4편에서는 그 한계를 숨기지 않고 한 달 앞으로 밀어 검증한다. 현재 데이터에서 예측 관계가 남는지, 남지 않는지를 모두 기록하는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2장 「시장관찰」 1. 알파는 단일 최적값인가, 안정적인 구간인가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 xml:space="preserve">처음에는 책에서 수익률이 높았던 </w:t>
      </w:r>
      <w:r>
        <w:rPr>
          <w:rFonts w:ascii="Malgun Gothic" w:hAnsi="Malgun Gothic" w:eastAsia="Malgun Gothic"/>
          <w:b/>
          <w:sz w:val="22"/>
        </w:rPr>
        <w:t>유동성 상위 80%</w:t>
      </w:r>
      <w:r>
        <w:rPr>
          <w:rFonts w:ascii="Malgun Gothic" w:hAnsi="Malgun Gothic" w:eastAsia="Malgun Gothic"/>
          <w:sz w:val="22"/>
        </w:rPr>
        <w:t>를 내 전략의 고정 필터로 쓰고 싶었다. 매월 평균 거래대금 상위 80% 안의 종목만 매수 후보로 남기면 된다고 생각했다.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유동성 유니버스를 넓힐수록 수익률은 상위 70~80% 구간까지 크게 높아지지만, 그 이후에는 기울기가 완만해진다. 더 낮은 유동성 종목을 편입하면서 얻는 이론 수익률의 추가분이 이전보다 작아진다는 뜻이다.</w:t>
      </w:r>
    </w:p>
    <w:p>
      <w:pPr>
        <w:spacing w:after="160" w:line="320" w:lineRule="auto"/>
      </w:pPr>
      <w:r>
        <w:rPr>
          <w:rFonts w:ascii="Malgun Gothic" w:hAnsi="Malgun Gothic" w:eastAsia="Malgun Gothic"/>
          <w:sz w:val="22"/>
        </w:rPr>
        <w:t>그래프만으로 슬리피지를 측정할 수는 없다. 이 그림에는 실제 주문이 어느 가격에서 얼마나 체결됐는지에 관한 정보가 없기 때문이다. 바로 이 지점에서 수익률 곡선만 읽는 방식은 멈춰야 한다. 유니버스를 넓힐수록 새로 들어오는 종목은 평균 거래대금이 낮고, 같은 금액을 주문했을 때 시장에 남기는 흔적은 더 커질 가능성이 있다. 이론 수익률이 조금 높아졌다는 사실만으로 그 종목들이 운용 가능한 후보가 되는 것은 아니다.</w:t>
      </w:r>
    </w:p>
    <w:p>
      <w:pPr>
        <w:spacing w:after="160" w:line="320" w:lineRule="auto"/>
      </w:pPr>
      <w:r>
        <w:rPr>
          <w:rFonts w:ascii="Malgun Gothic" w:hAnsi="Malgun Gothic" w:eastAsia="Malgun Gothic"/>
          <w:sz w:val="22"/>
        </w:rPr>
        <w:t>그래서 질문은 다음으로 바뀐다. 새로 편입된 저유동성 종목이 만드는 추가 수익은, 실제 집행에서 늘어나는 슬리피지와 미체결 위험을 감당할 만큼 큰가. 책의 그림 18은 이 질문의 답을 제시하지 않는다. 대신 내가 뒤의 실험을 설계하게 만든 출발점이다. 이후에는 유동성 기준만 바꾸지 않고 운용 규모, 종목당 주문 참여율, 시장충격 비용을 함께 움직였다. 같은 유동성 상위 80%라도 1억 원을 운용할 때와 100억 원을 운용할 때, 주문금액의 2.5%와 10%를 거래대금 안에서 소화할 수 있다고 가정할 때 결과가 어떻게 달라지는지 확인하기 위해서다.</w:t>
      </w:r>
    </w:p>
    <w:p>
      <w:pPr>
        <w:spacing w:after="160" w:line="320" w:lineRule="auto"/>
      </w:pPr>
      <w:r>
        <w:rPr>
          <w:rFonts w:ascii="Malgun Gothic" w:hAnsi="Malgun Gothic" w:eastAsia="Malgun Gothic"/>
          <w:sz w:val="22"/>
        </w:rPr>
        <w:t>이 질문 때문에 나는 책의 66.16%를 내 실험의 목표값으로 두지 않았다. 표본 기간, 신호 정의, 보유 종목 수, 리밸런싱 주기, 비용 모형이 달라지면 같은 ‘유동성 상위 80%’라도 전혀 다른 포트폴리오가 된다. 책의 수익률을 재현하지 못했다고 책을 반박할 수는 없고, 비슷한 곡선이 나왔다고 검증됐다고 말할 수도 없다. 내가 확인하려 한 것은 66.16%라는 숫자가 아니라, 그 숫자가 성립하려면 어떤 조건이 고정돼 있어야 하는지였다. 그 조건을 하나씩 바꿨을 때 성과가 어디에서 달라지는지 확인했다.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p>
      <w:pPr>
        <w:spacing w:after="160" w:line="320" w:lineRule="auto"/>
      </w:pPr>
      <w:r>
        <w:rPr>
          <w:rFonts w:ascii="Malgun Gothic" w:hAnsi="Malgun Gothic" w:eastAsia="Malgun Gothic"/>
          <w:sz w:val="22"/>
        </w:rPr>
        <w:t>그런데 이 조합을 만들기 전에 먼저 정할 문제가 있었다. 책의 ‘유동성 상위 80%’를 코드에서 어떤 규칙으로 바꿀 것인가. 유동성의 정의가 달라지면 그 뒤에 붙는 신호·보유 종목 수·체결비용도 모두 다른 표본에서 계산된다. 그래서 실험의 첫 단계는 수익률 계산이 아니라 유동성을 실행 가능한 숫자로 정하는 일이었다.</w:t>
      </w:r>
    </w:p>
    <w:p>
      <w:pPr>
        <w:pStyle w:val="Heading3"/>
      </w:pPr>
      <w:r>
        <w:t>1. 유동성을 실행 가능한 규칙으로 바꾸기</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이 글에서 말하는 유동성 기준은 이 순위의 어디에서 매수 후보를 자를지를 뜻한다.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pStyle w:val="Heading3"/>
      </w:pPr>
      <w:r>
        <w:t>2. 유동성 안에서 비교할 신호를 정하기</w:t>
      </w:r>
    </w:p>
    <w:p>
      <w:pPr>
        <w:spacing w:after="160" w:line="320" w:lineRule="auto"/>
      </w:pPr>
      <w:r>
        <w:rPr>
          <w:rFonts w:ascii="Malgun Gothic" w:hAnsi="Malgun Gothic" w:eastAsia="Malgun Gothic"/>
          <w:sz w:val="22"/>
        </w:rPr>
        <w:t>이번 실험에는 네 가지 신호를 넣었다. 1개월 반전은 직전 한 달 수익률이 낮았던 종목을 고르고, 6개월 모멘텀은 최근 여섯 달 수익률이 높았던 종목을 고른다. 저변동성은 최근 12개월 월 수익률의 변동성이 낮은 종목을, 소형주는 시가총액이 작은 종목을 선택한다. 같은 월말 데이터에서 계산되지만, 각 신호가 시장을 읽는 방식은 다르다. 반전은 단기 가격 조정이 되돌아갈 가능성을, 모멘텀은 가격 추세의 지속을, 저변동성은 위험 대비 보상을, 소형주는 규모에 따른 보상 차이를 전제로 둔다.</w:t>
      </w:r>
    </w:p>
    <w:p>
      <w:pPr>
        <w:spacing w:after="160" w:line="320" w:lineRule="auto"/>
      </w:pPr>
      <w:r>
        <w:rPr>
          <w:rFonts w:ascii="Malgun Gothic" w:hAnsi="Malgun Gothic" w:eastAsia="Malgun Gothic"/>
          <w:sz w:val="22"/>
        </w:rPr>
        <w:t>이 네 가지를 넣은 이유는 좋은 팩터 목록을 만들기 위해서가 아니다. 유동성 기준을 넓혔을 때 모든 신호가 같은 방향으로 좋아지는지, 아니면 특정한 신호만 저유동성 종목의 수익률에 의존하는지를 구분하기 위해서다. 예를 들어 유동성 범위를 넓힌 뒤 저변동성만 남고 반전과 모멘텀이 사라진다면, ‘유동성이 넓을수록 좋다’는 결론은 성립하지 않는다. 더 정확한 결론은 저변동성이라는 특정한 정렬 방식이 넓은 유니버스에서 남았다는 것이다.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제외하면, 나는 처음부터 성과가 좋았던 신호만 남긴 채 유동성의 효과를 말하게 된다. 유동성 기준의 변화가 신호와 무관하게 작동한다고 주장하려면, 성과가 약했던 신호도 같은 조건에서 함께 봐야 한다.</w:t>
      </w:r>
    </w:p>
    <w:p>
      <w:pPr>
        <w:spacing w:after="160" w:line="320" w:lineRule="auto"/>
      </w:pPr>
      <w:r>
        <w:rPr>
          <w:rFonts w:ascii="Malgun Gothic" w:hAnsi="Malgun Gothic" w:eastAsia="Malgun Gothic"/>
          <w:sz w:val="22"/>
        </w:rPr>
        <w:t>그래서 모멘텀을 다시 넣었다. 모멘텀이 유효하다는 것을 입증하기 위해서가 아니라, 유동성 범위를 넓힐 때도 끝까지 남지 못하는 신호가 실제로 있는지, 그리고 그 실패가 비용·운용 규모·보유 종목 수를 바꾼 뒤에도 같은 위치에서 나타나는지 확인하기 위해서다. 신호별 결과가 다르다면, 유동성은 전략의 공통된 배경조건이 아니라 각 신호의 수익 구조와 부딪히는 제약이 된다.</w:t>
      </w:r>
    </w:p>
    <w:p>
      <w:pPr>
        <w:spacing w:after="160" w:line="320" w:lineRule="auto"/>
      </w:pPr>
      <w:r>
        <w:rPr>
          <w:rFonts w:ascii="Malgun Gothic" w:hAnsi="Malgun Gothic" w:eastAsia="Malgun Gothic"/>
          <w:sz w:val="22"/>
        </w:rPr>
        <w:t>여기서도 한계는 남는다. 네 가지 신호는 모두 가격·거래량·시가총액 패널에서 출발한다. 따라서 결과가 다르다고 해서 네 개의 독립적인 경제적 원인을 확인한 것은 아니다. 이번 비교가 말해 주는 것은 서로 다른 규칙이 유동성 제약에 얼마나 다르게 반응했는지이지, 각 규칙의 경제적 원인을 증명했다는 뜻은 아니다.</w:t>
      </w:r>
    </w:p>
    <w:p>
      <w:pPr>
        <w:pStyle w:val="Heading3"/>
      </w:pPr>
      <w:r>
        <w:t>3. 선택 시점과 평가 시점을 분리하기</w:t>
      </w:r>
    </w:p>
    <w:p>
      <w:pPr>
        <w:spacing w:after="160" w:line="320" w:lineRule="auto"/>
      </w:pPr>
      <w:r>
        <w:rPr>
          <w:rFonts w:ascii="Malgun Gothic" w:hAnsi="Malgun Gothic" w:eastAsia="Malgun Gothic"/>
          <w:sz w:val="22"/>
        </w:rPr>
        <w:t>백테스트에서 가장 먼저 지켜야 할 순서는 단순하다. 종목을 고를 때는 그 시점에 알 수 있었던 정보만 쓰고, 성과는 선택이 끝난 뒤의 가격으로 평가해야 한다. 이번 실험에서도 월말에 종목을 고를 때는 해당 형성 월 종가까지의 수정주가·거래량·시가총액만 사용했다. 선택된 종목의 수익률은 그다음 달부터 붙였다. 미래 수익률을 신호 계산에 섞지 않기 위한 최소한의 시간 분리다.</w:t>
      </w:r>
    </w:p>
    <w:p>
      <w:pPr>
        <w:spacing w:after="160" w:line="320" w:lineRule="auto"/>
      </w:pPr>
      <w:r>
        <w:rPr>
          <w:rFonts w:ascii="Malgun Gothic" w:hAnsi="Malgun Gothic" w:eastAsia="Malgun Gothic"/>
          <w:sz w:val="22"/>
        </w:rPr>
        <w:t>하지만 이 분리만으로 미래정보 문제가 사라지는 것은 아니다. 월말 데이터에서 과거와 미래를 나눴다고 해도, 원천 가격 자체가 나중에 어떻게 수정됐는지를 확인하지 않으면 안 된다. 수정주가에는 액면분할, 배당, 감자처럼 과거 가격을 다시 조정하는 사건이 들어갈 수 있다. 상장폐지나 거래정지처럼 다음 가격이 정상적으로 이어지지 않는 사건도 있다. 코드에서 다음 달 가격을 붙였다는 사실은, 그 가격이 당시 실제로 거래 가능한 청산 가격이었는지까지 보장하지 않는다.</w:t>
      </w:r>
    </w:p>
    <w:p>
      <w:pPr>
        <w:spacing w:after="160" w:line="320" w:lineRule="auto"/>
      </w:pPr>
      <w:r>
        <w:rPr>
          <w:rFonts w:ascii="Malgun Gothic" w:hAnsi="Malgun Gothic" w:eastAsia="Malgun Gothic"/>
          <w:sz w:val="22"/>
        </w:rPr>
        <w:t>그래서 형성 시점 이후 다시 들어온 종목과 다음 가격이 비어 있는 보유 종목을 따로 감사했다. 재진입 종목은 상장폐지·거래중단·재상장 같은 사건 때문에 하나의 연속된 가격 시계열로 취급하기 어려울 수 있다. 다음 가격이 없는 종목은 수익률을 0으로 둘지, 마지막 관측 가격에서 청산한 것으로 볼지, 손실로 처리할지에 따라 성과가 달라진다. 이 선택은 결측치를 처리하는 기술적 문제가 아니라, 실제로 어떤 거래가 가능했다고 가정하는지에 관한 문제다.</w:t>
      </w:r>
    </w:p>
    <w:p>
      <w:pPr>
        <w:spacing w:after="160" w:line="320" w:lineRule="auto"/>
      </w:pPr>
      <w:r>
        <w:rPr>
          <w:rFonts w:ascii="Malgun Gothic" w:hAnsi="Malgun Gothic" w:eastAsia="Malgun Gothic"/>
          <w:sz w:val="22"/>
        </w:rPr>
        <w:t>수정주가도 양면적이다. 배당과 액면분할을 반영해 장기 보유 성과를 비교하기 좋지만, 과거 특정 시점의 주문 가격을 그대로 복원하는 데이터는 아니다. 따라서 이번 실험의 수정주가 수익률은 총수익률에 가까운 성과 비교용 지표로 사용했고, 실제 체결 가격은 비용·체결 가능 비중 모형에서 별도로 보수적으로 깎았다. 둘을 하나의 숫자로 합치지 않은 이유가 여기에 있다.</w:t>
      </w:r>
    </w:p>
    <w:p>
      <w:pPr>
        <w:spacing w:after="160" w:line="320" w:lineRule="auto"/>
      </w:pPr>
      <w:r>
        <w:rPr>
          <w:rFonts w:ascii="Malgun Gothic" w:hAnsi="Malgun Gothic" w:eastAsia="Malgun Gothic"/>
          <w:sz w:val="22"/>
        </w:rPr>
        <w:t>결국 ‘룩어헤드를 막았다’는 말은 코드 한 줄의 문제가 아니다. 신호가 형성 시점 이전 정보만 사용했는지, 원천 가격이 사후 사건을 어떻게 반영하는지, 거래중단 종목의 다음 가격을 어떻게 처리했는지, 그리고 그 처리 규칙이 결과를 바꾸는지까지 확인해야 한다. 시간 분리는 백테스트의 출발점일 뿐이고, 그 뒤에는 데이터가 가진 시간의 흔적을 감사하는 작업이 남는다.</w:t>
      </w:r>
    </w:p>
    <w:p>
      <w:pPr>
        <w:pStyle w:val="Heading3"/>
      </w:pPr>
      <w:r>
        <w:t>4. 바꿔 본 조건</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pStyle w:val="Heading3"/>
      </w:pPr>
      <w:r>
        <w:t>비용은 어떻게 계산했는가</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pStyle w:val="Heading3"/>
      </w:pPr>
      <w:r>
        <w:t>전량 체결을 가정하지 않기</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pStyle w:val="Heading3"/>
      </w:pPr>
      <w:r>
        <w:t>참여율 5%는 결론이 아니라 가정이다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64</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56</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2" name="Picture 2"/>
            <wp:cNvGraphicFramePr>
              <a:graphicFrameLocks noChangeAspect="1"/>
            </wp:cNvGraphicFramePr>
            <a:graphic>
              <a:graphicData uri="http://schemas.openxmlformats.org/drawingml/2006/picture">
                <pic:pic>
                  <pic:nvPicPr>
                    <pic:cNvPr id="0" name="11_participation_sensitivity.png"/>
                    <pic:cNvPicPr/>
                  </pic:nvPicPr>
                  <pic:blipFill>
                    <a:blip r:embed="rId10"/>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Malgun Gothic" w:hAnsi="Malgun Gothic" w:eastAsia="Malgun Gothic"/>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pStyle w:val="Heading3"/>
      </w:pPr>
      <w:r>
        <w:t>무엇을 안정적인 조합으로 볼 것인가</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pStyle w:val="Heading3"/>
      </w:pPr>
      <w:r>
        <w:t>단일 최적값과 안정적인 구간</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1568768"/>
            <wp:docPr id="3" name="Picture 3"/>
            <wp:cNvGraphicFramePr>
              <a:graphicFrameLocks noChangeAspect="1"/>
            </wp:cNvGraphicFramePr>
            <a:graphic>
              <a:graphicData uri="http://schemas.openxmlformats.org/drawingml/2006/picture">
                <pic:pic>
                  <pic:nvPicPr>
                    <pic:cNvPr id="0" name="01a_signal_stability.png"/>
                    <pic:cNvPicPr/>
                  </pic:nvPicPr>
                  <pic:blipFill>
                    <a:blip r:embed="rId11"/>
                    <a:stretch>
                      <a:fillRect/>
                    </a:stretch>
                  </pic:blipFill>
                  <pic:spPr>
                    <a:xfrm>
                      <a:off x="0" y="0"/>
                      <a:ext cx="5577840" cy="1568768"/>
                    </a:xfrm>
                    <a:prstGeom prst="rect"/>
                  </pic:spPr>
                </pic:pic>
              </a:graphicData>
            </a:graphic>
          </wp:inline>
        </w:drawing>
      </w:r>
    </w:p>
    <w:p>
      <w:pPr>
        <w:pStyle w:val="FigureCaption"/>
        <w:jc w:val="center"/>
      </w:pPr>
      <w:r>
        <w:rPr>
          <w:rFonts w:ascii="Malgun Gothic" w:hAnsi="Malgun Gothic" w:eastAsia="Malgun Gothic"/>
          <w:color w:val="595959"/>
          <w:sz w:val="18"/>
        </w:rPr>
        <w:t>그림 1. 신호별 안정적인 조합 수</w:t>
      </w:r>
    </w:p>
    <w:p>
      <w:pPr>
        <w:keepNext/>
        <w:spacing w:before="120" w:after="60"/>
        <w:jc w:val="center"/>
      </w:pPr>
      <w:r>
        <w:drawing>
          <wp:inline xmlns:a="http://schemas.openxmlformats.org/drawingml/2006/main" xmlns:pic="http://schemas.openxmlformats.org/drawingml/2006/picture">
            <wp:extent cx="5577840" cy="1568768"/>
            <wp:docPr id="4" name="Picture 4"/>
            <wp:cNvGraphicFramePr>
              <a:graphicFrameLocks noChangeAspect="1"/>
            </wp:cNvGraphicFramePr>
            <a:graphic>
              <a:graphicData uri="http://schemas.openxmlformats.org/drawingml/2006/picture">
                <pic:pic>
                  <pic:nvPicPr>
                    <pic:cNvPr id="0" name="01b_liquidity_stability.png"/>
                    <pic:cNvPicPr/>
                  </pic:nvPicPr>
                  <pic:blipFill>
                    <a:blip r:embed="rId12"/>
                    <a:stretch>
                      <a:fillRect/>
                    </a:stretch>
                  </pic:blipFill>
                  <pic:spPr>
                    <a:xfrm>
                      <a:off x="0" y="0"/>
                      <a:ext cx="5577840" cy="1568768"/>
                    </a:xfrm>
                    <a:prstGeom prst="rect"/>
                  </pic:spPr>
                </pic:pic>
              </a:graphicData>
            </a:graphic>
          </wp:inline>
        </w:drawing>
      </w:r>
    </w:p>
    <w:p>
      <w:pPr>
        <w:pStyle w:val="FigureCaption"/>
        <w:jc w:val="center"/>
      </w:pPr>
      <w:r>
        <w:rPr>
          <w:rFonts w:ascii="Malgun Gothic" w:hAnsi="Malgun Gothic" w:eastAsia="Malgun Gothic"/>
          <w:color w:val="595959"/>
          <w:sz w:val="18"/>
        </w:rPr>
        <w:t>그림 2. 유동성 유니버스별 안정적인 조합 수</w:t>
      </w:r>
    </w:p>
    <w:p>
      <w:pPr>
        <w:spacing w:after="160" w:line="320" w:lineRule="auto"/>
      </w:pPr>
      <w:r>
        <w:rPr>
          <w:rFonts w:ascii="Malgun Gothic" w:hAnsi="Malgun Gothic" w:eastAsia="Malgun Gothic"/>
          <w:sz w:val="22"/>
        </w:rPr>
        <w:t>위 그래프의 위쪽 막대는 신호별로 네 기준을 모두 통과한 조합 수를, 아래쪽 막대는 그 조합이 유동성 유니버스 어디에 있었는지를 보여 준다. 수익률 순위표가 아니라, 조건을 한 단계씩 바꾼 뒤에도 남은 조합의 분포다.</w:t>
      </w:r>
    </w:p>
    <w:p>
      <w:pPr>
        <w:spacing w:after="160" w:line="320" w:lineRule="auto"/>
      </w:pPr>
      <w:r>
        <w:rPr>
          <w:rFonts w:ascii="Malgun Gothic" w:hAnsi="Malgun Gothic" w:eastAsia="Malgun Gothic"/>
          <w:sz w:val="22"/>
        </w:rPr>
        <w:t>1개월 반전과 6개월 모멘텀에서는 통과 조합이 없었다. 저변동성은 유동성 상위 60~90%에서, 소형주는 상위 80~90%에서만 남았다. 유동성 범위를 넓히면 모든 신호가 좋아진다는 결론은 여기서 성립하지 않는다. 같은 유동성 조건도 어떤 신호와 결합하느냐에 따라 전혀 다른 제약이 된다.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손절매는 손실을 막는 규칙인가, 손실 경로를 바꾸는 규칙인가</w:t>
      </w:r>
    </w:p>
    <w:p>
      <w:pPr>
        <w:spacing w:after="160" w:line="320" w:lineRule="auto"/>
      </w:pPr>
      <w:r>
        <w:rPr>
          <w:rFonts w:ascii="Malgun Gothic" w:hAnsi="Malgun Gothic" w:eastAsia="Malgun Gothic"/>
          <w:sz w:val="22"/>
        </w:rPr>
        <w:t>손절매는 이 글의 유동성 문제와 멀어 보이지만, 실제로는 같은 질문에 닿아 있다. 손절은 가격이 내려가면 위험을 줄이는 규칙처럼 보인다. 그러나 저유동성 종목에서 손절 주문은 가장 거래하기 어려운 순간에 나간다. 손실을 줄였다고 기록한 백테스트가 실제로는 더 큰 가격 양보와 미체결을 숨길 수 있다. 그래서 손절을 ‘수익률을 높이는 보조 신호’로 바로 넣지 않고, 손실이 난 뒤 현금 비중과 회복 가능성이 어떻게 바뀌는지부터 확인했다.</w:t>
      </w:r>
    </w:p>
    <w:p>
      <w:pPr>
        <w:spacing w:after="160" w:line="320" w:lineRule="auto"/>
      </w:pPr>
      <w:r>
        <w:rPr>
          <w:rFonts w:ascii="Malgun Gothic" w:hAnsi="Malgun Gothic" w:eastAsia="Malgun Gothic"/>
          <w:sz w:val="22"/>
        </w:rPr>
        <w:t xml:space="preserve">현재 원천 데이터에는 일별 수정주가는 있지만 장중 고가·저가, 호가 스프레드, 실제 주문 체결 정보는 없다. 따라서 ‘-10%에 닿는 즉시 -10%에서 체결’되는 손절은 이 데이터로 검증할 수 없다. 그런 숫자는 손절 규칙이 아니라 체결가를 임의로 만든 결과가 된다. 이번에는 더 보수적으로, 월말에 선택한 소형주를 일별 종가로 추적하다가 손실 기준을 처음 넘긴 뒤 </w:t>
      </w:r>
      <w:r>
        <w:rPr>
          <w:rFonts w:ascii="Malgun Gothic" w:hAnsi="Malgun Gothic" w:eastAsia="Malgun Gothic"/>
          <w:b/>
          <w:sz w:val="22"/>
        </w:rPr>
        <w:t>다음 거래일 종가</w:t>
      </w:r>
      <w:r>
        <w:rPr>
          <w:rFonts w:ascii="Malgun Gothic" w:hAnsi="Malgun Gothic" w:eastAsia="Malgun Gothic"/>
          <w:sz w:val="22"/>
        </w:rPr>
        <w:t>에 청산하고, 다음 월 리밸런싱까지 현금으로 두는 규칙만 계산했다.</w:t>
      </w:r>
    </w:p>
    <w:p>
      <w:pPr>
        <w:spacing w:after="160" w:line="320" w:lineRule="auto"/>
      </w:pPr>
      <w:r>
        <w:rPr>
          <w:rFonts w:ascii="Malgun Gothic" w:hAnsi="Malgun Gothic" w:eastAsia="Malgun Gothic"/>
          <w:sz w:val="22"/>
        </w:rPr>
        <w:t>비교 대상은 앞에서 나온 비용 차감 포트폴리오 전체가 아니다. 선택된 소형주 보유 종목 중 형성일과 다음 형성일의 일별 수정주가가 모두 확인되는 15,464개 보유-월을 동일가중으로 비교한 조건부 표본이다. 체결 용량과 거래비용은 이 비교에서 고정하지 못했다. 이 실험은 ‘손절을 적용하면 실전 수익률이 얼마다’를 말하는 것이 아니라, 동일한 보유 종목 경로에서 손절 기준이 수익과 손실의 분포를 어떤 방향으로 바꾸는지 보는 오버레이다.</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7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규칙</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MDD</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t-통계량</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발생 비율</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뒤 월말 회복 비율</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손절 없음</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-10%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6.86</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35.4%</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41.9%</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-20%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6.50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16.3%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40.0%</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-30%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46.5%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-50.9%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7.8%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37.3%</w:t>
            </w:r>
          </w:p>
        </w:tc>
      </w:tr>
    </w:tbl>
    <w:p>
      <w:pPr>
        <w:spacing w:after="0"/>
      </w:pPr>
    </w:p>
    <w:p>
      <w:pPr>
        <w:spacing w:after="160" w:line="320" w:lineRule="auto"/>
      </w:pPr>
      <w:r>
        <w:rPr>
          <w:rFonts w:ascii="Malgun Gothic" w:hAnsi="Malgun Gothic" w:eastAsia="Malgun Gothic"/>
          <w:sz w:val="22"/>
        </w:rPr>
        <w:t>-10% 규칙은 최대낙폭을 7.6%p 낮췄다. 하지만 이 결과를 ‘-10%가 최적 손절선’이라고 읽으면 안 된다. 손절이 발생한 보유-월은 35.4%였고, 그중 41.9%는 월말까지 계속 보유했을 때 손절 청산가보다 높은 가격으로 끝났다. 손절은 상당수의 반등을 포기하는 대신, 큰 낙폭 구간에서 현금으로 이동한 규칙이다.</w:t>
      </w:r>
    </w:p>
    <w:p>
      <w:pPr>
        <w:spacing w:after="160" w:line="320" w:lineRule="auto"/>
      </w:pPr>
      <w:r>
        <w:rPr>
          <w:rFonts w:ascii="Malgun Gothic" w:hAnsi="Malgun Gothic" w:eastAsia="Malgun Gothic"/>
          <w:sz w:val="22"/>
        </w:rPr>
        <w:t>-20%는 CAGR이 47.9%로 가장 높게 보이지만 MDD는 손절 없음과 거의 같다. -30%는 CAGR과 MDD가 모두 나빠졌다. 기준을 느슨하게 만들수록 손절 횟수는 줄지만 보호 효과도 사라진다. 기준을 엄격하게 만들수록 MDD는 줄어들 수 있지만, 반등 종목을 더 많이 놓친다. 이 결과에는 단조롭게 좋은 손절선이 없었다.</w:t>
      </w:r>
    </w:p>
    <w:p>
      <w:pPr>
        <w:spacing w:after="160" w:line="320" w:lineRule="auto"/>
      </w:pPr>
      <w:r>
        <w:rPr>
          <w:rFonts w:ascii="Malgun Gothic" w:hAnsi="Malgun Gothic" w:eastAsia="Malgun Gothic"/>
          <w:sz w:val="22"/>
        </w:rPr>
        <w:t>여기서 더 중요한 숫자는 41.9%다. 손절된 종목 열 개 중 네 개 이상이 그 달 말에는 손절 청산가보다 높았다. 이 비율은 손절이 틀렸다는 뜻이 아니다. 손절은 개별 종목의 방향을 맞히는 규칙이 아니라, 포트폴리오가 감당할 수 없는 손실 경로를 잘라내는 규칙이라는 뜻이다. 따라서 손절의 평가는 평균 수익률 하나가 아니라 MDD, 손절 빈도, 반등 포기, 현금 체류기간을 함께 놓고 해야 한다.</w:t>
      </w:r>
    </w:p>
    <w:p>
      <w:pPr>
        <w:spacing w:after="160" w:line="320" w:lineRule="auto"/>
      </w:pPr>
      <w:r>
        <w:rPr>
          <w:rFonts w:ascii="Malgun Gothic" w:hAnsi="Malgun Gothic" w:eastAsia="Malgun Gothic"/>
          <w:sz w:val="22"/>
        </w:rPr>
        <w:t>손절 연구에는 이 글의 다른 한계보다 더 엄격한 경계가 있다. 일별 종가 기준의 다음 거래일 청산은 장중 손절 주문과 다르다. 갭 하락, 하한가, 거래정지, 호가 스프레드가 큰 날에는 실제 청산이 더 늦거나 더 불리할 수 있다. 종료사건의 현금 결제값도 이 조건부 표본에서는 해결되지 않는다. 그래서 이 결과는 ‘손절매를 쓰라’는 추천이 아니라, 소형주 전략의 손실을 통제하는 방법을 논할 때 어떤 데이터를 추가해야 하는지 보여 주는 첫 번째 반증이다.</w:t>
      </w:r>
    </w:p>
    <w:p>
      <w:pPr>
        <w:pStyle w:val="Heading2"/>
      </w:pPr>
      <w:r>
        <w:t>아직 결론으로 말할 수 없는 것</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참여율 민감도 실험: https://github.com/Rowoon-Lee5/metric_studio_by_moon/blob/main/experiments/participation_sensitivity.py</w:t>
      </w:r>
    </w:p>
    <w:p>
      <w:pPr>
        <w:pStyle w:val="ListBullet"/>
        <w:spacing w:after="80"/>
      </w:pPr>
      <w:r>
        <w:rPr>
          <w:rFonts w:ascii="Malgun Gothic" w:hAnsi="Malgun Gothic" w:eastAsia="Malgun Gothic"/>
          <w:color w:val="373737"/>
          <w:sz w:val="19"/>
        </w:rPr>
        <w:t>일별 종가 손절 감사: https://github.com/Rowoon-Lee5/metric_studio_by_moon/blob/main/experiments/stop_loss_daily_close_audit.py</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주문 충격, 운용 규모가 함께 들어 있다. 2장에 나온 인기주 이야기를 읽자 같은 문제가 다시 보였다. 이번에는 거래회전율이라는 숫자였다.</w:t>
      </w:r>
    </w:p>
    <w:p>
      <w:pPr>
        <w:spacing w:after="160" w:line="320" w:lineRule="auto"/>
      </w:pPr>
      <w:r>
        <w:rPr>
          <w:rFonts w:ascii="Malgun Gothic" w:hAnsi="Malgun Gothic" w:eastAsia="Malgun Gothic"/>
          <w:sz w:val="22"/>
        </w:rPr>
        <w:t>저자는 대중의 관심을 많이 받는 인기주의 예후가 상대적으로 나쁠 수 있다고 설명한다. 한 종목에 기대가 과도하게 모이면 좋은 뉴스가 이미 가격에 반영돼 있고, 뒤늦게 들어온 투자자는 낮은 기대수익률을 떠안을 수 있다는 논리다. 이 설명은 직관적이다. 그래서 데이터를 돌리기 전에 먼저 멈춰야 했다. 여기서 말하는 ‘관심’은 무엇으로 관측할 수 있는가.</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pStyle w:val="Heading2"/>
      </w:pPr>
      <w:r>
        <w:t>내가 한 변수에 맡겼던 세 가지 일</w:t>
      </w:r>
    </w:p>
    <w:p>
      <w:pPr>
        <w:spacing w:after="160" w:line="320" w:lineRule="auto"/>
      </w:pPr>
      <w:r>
        <w:rPr>
          <w:rFonts w:ascii="Malgun Gothic" w:hAnsi="Malgun Gothic" w:eastAsia="Malgun Gothic"/>
          <w:sz w:val="22"/>
        </w:rPr>
        <w:t>이 질문은 이전 프로젝트에서 가장 쉽게 넘겼던 필터에서 시작한다. 나는 거래회전율 하위 10% 종목을 제외했다. 거래가 거의 없는 종목은 실제로 매수와 매도가 어려울 수 있으니, 우선 빼는 것이 합리적으로 보였다. 그 판단 자체는 실행 제약에 관한 판단이다.</w:t>
      </w:r>
    </w:p>
    <w:p>
      <w:pPr>
        <w:spacing w:after="160" w:line="320" w:lineRule="auto"/>
      </w:pPr>
      <w:r>
        <w:rPr>
          <w:rFonts w:ascii="Malgun Gothic" w:hAnsi="Malgun Gothic" w:eastAsia="Malgun Gothic"/>
          <w:sz w:val="22"/>
        </w:rPr>
        <w:t>문제는 그다음이었다. 남은 종목 중 회전율이 높은 종목을 ‘시장의 관심을 많이 받는 종목’이라고 불렀다. 어떤 실험에서는 회전율을 다음 달 수익률과 연결할 수 있는 신호처럼 다뤘다. 같은 숫자가 거래 가능성을 가르는 필터였다가, 투자자 심리를 설명하는 변수였다가, 다시 예측 변수처럼 바뀐 셈이다. 나는 그 역할이 바뀌는 순간마다 필요한 근거도 함께 바뀐다는 사실을 확인하지 않았다.</w:t>
      </w:r>
    </w:p>
    <w:p>
      <w:pPr>
        <w:spacing w:after="160" w:line="320" w:lineRule="auto"/>
      </w:pPr>
      <w:r>
        <w:rPr>
          <w:rFonts w:ascii="Malgun Gothic" w:hAnsi="Malgun Gothic" w:eastAsia="Malgun Gothic"/>
          <w:sz w:val="22"/>
        </w:rPr>
        <w:t>거래회전율은 보통 일정 기간 거래량을 상장주식 수로 나눈 비율이다. 계산하기 쉽다는 장점은 있다. 그러나 회전율이 높다는 사실만으로 누가 왜 거래했는지는 알 수 없다. 기관의 리밸런싱, ETF 편입·편출, 유동성공급자의 양방향 주문, 대주주의 블록거래, 악재 뒤의 손절 물량도 회전율을 높인다. 거래가 많다는 결과와 투자자가 많이 주목했다는 원인을 같은 것으로 두면, 숫자는 남고 원인은 사라진다.</w:t>
      </w:r>
    </w:p>
    <w:p>
      <w:pPr>
        <w:spacing w:after="160" w:line="320" w:lineRule="auto"/>
      </w:pPr>
      <w:r>
        <w:rPr>
          <w:rFonts w:ascii="Malgun Gothic" w:hAnsi="Malgun Gothic" w:eastAsia="Malgun Gothic"/>
          <w:sz w:val="22"/>
        </w:rPr>
        <w:t>분모도 단순하지 않다. 같은 거래량이라도 상장주식 수, 유통 가능 물량, 최대주주의 장기 보유 비중이 다르면 회전율은 달라진다. 증자나 감자가 있으면 시간에 따라 같은 기업의 분모도 바뀐다. 내가 사용한 회전율은 관측 가능한 거래량과 주식 수로 만든 비율일 뿐, 개인 투자자의 주목을 직접 찍은 값이 아니다.</w:t>
      </w:r>
    </w:p>
    <w:p>
      <w:pPr>
        <w:spacing w:after="160" w:line="320" w:lineRule="auto"/>
      </w:pPr>
      <w:r>
        <w:rPr>
          <w:rFonts w:ascii="Malgun Gothic" w:hAnsi="Malgun Gothic" w:eastAsia="Malgun Gothic"/>
          <w:sz w:val="22"/>
        </w:rPr>
        <w:t>이 차이는 단어 선택의 문제가 아니다. 회전율 상위 종목의 성과가 약하다는 결과를 얻었을 때, ‘관심이 과열됐다’고 해석하면 행동경제학의 주장처럼 보인다. 반면 그 거래가 기관의 기계적 주문이었다면 같은 결과는 수급 충격이나 유동성 공급의 문제일 수 있다. 결과는 같아도 다음 검증은 완전히 달라진다.</w:t>
      </w:r>
    </w:p>
    <w:p>
      <w:pPr>
        <w:pStyle w:val="Heading2"/>
      </w:pPr>
      <w:r>
        <w:t>뉴스량을 붙인 이유</w:t>
      </w:r>
    </w:p>
    <w:p>
      <w:pPr>
        <w:spacing w:after="160" w:line="320" w:lineRule="auto"/>
      </w:pPr>
      <w:r>
        <w:rPr>
          <w:rFonts w:ascii="Malgun Gothic" w:hAnsi="Malgun Gothic" w:eastAsia="Malgun Gothic"/>
          <w:sz w:val="22"/>
        </w:rPr>
        <w:t xml:space="preserve">그래서 거래회전율을 뉴스량으로 </w:t>
      </w:r>
      <w:r>
        <w:rPr>
          <w:rFonts w:ascii="Malgun Gothic" w:hAnsi="Malgun Gothic" w:eastAsia="Malgun Gothic"/>
          <w:b/>
          <w:sz w:val="22"/>
        </w:rPr>
        <w:t>교체</w:t>
      </w:r>
      <w:r>
        <w:rPr>
          <w:rFonts w:ascii="Malgun Gothic" w:hAnsi="Malgun Gothic" w:eastAsia="Malgun Gothic"/>
          <w:sz w:val="22"/>
        </w:rPr>
        <w:t>한 것이 아니다. 회전율을 관심이라고 부르던 해석을 점검하기 위해, 원천 뉴스 헤드라인 수라는 별도의 관측값을 같은 종목·같은 달에 붙였다. 뉴스량도 관심 그 자체는 아니다. 조회 수, 실제 독자 수, 기사 내용의 긍정·부정은 알 수 없다. 다만 거래가 아니라 정보 노출의 흔적을 세는 관측 창이라는 점에서 회전율과 다르다.</w:t>
      </w:r>
    </w:p>
    <w:p>
      <w:pPr>
        <w:spacing w:after="160" w:line="320" w:lineRule="auto"/>
      </w:pPr>
      <w:r>
        <w:rPr>
          <w:rFonts w:ascii="Malgun Gothic" w:hAnsi="Malgun Gothic" w:eastAsia="Malgun Gothic"/>
          <w:sz w:val="22"/>
        </w:rPr>
        <w:t>가격 패널과 원천 뉴스 패널이 함께 있는 표본은 248개 종목, 2000년 6월부터 2025년 4월까지 27,563개 종목-월이다. 각 월에 뉴스 헤드라인 수의 로그값으로 종목을 하위·중간·상위 3분위로 나눴다. 월마다 뉴스가 없는 종목과 매우 많은 종목의 분포가 달라질 수 있으므로, 전체 기간에서 한 번 자른 것이 아니라 해당 월 안에서 세 집단을 다시 만들었다.</w:t>
      </w:r>
    </w:p>
    <w:p>
      <w:pPr>
        <w:spacing w:after="160" w:line="320" w:lineRule="auto"/>
      </w:pPr>
      <w:r>
        <w:rPr>
          <w:rFonts w:ascii="Malgun Gothic" w:hAnsi="Malgun Gothic" w:eastAsia="Malgun Gothic"/>
          <w:sz w:val="22"/>
        </w:rPr>
        <w:t xml:space="preserve">비교한 것은 ‘뉴스가 많으면 수익률이 높았는가’가 아니다. 각 뉴스 집단 안에서 6개월 모멘텀 순위가 이후 12개월 수익률 순위와 얼마나 같은 방향으로 움직였는지를 봤다. 여기서 </w:t>
      </w:r>
      <w:r>
        <w:rPr>
          <w:rFonts w:ascii="Malgun Gothic" w:hAnsi="Malgun Gothic" w:eastAsia="Malgun Gothic"/>
          <w:b/>
          <w:sz w:val="22"/>
        </w:rPr>
        <w:t>Rank IC</w:t>
      </w:r>
      <w:r>
        <w:rPr>
          <w:rFonts w:ascii="Malgun Gothic" w:hAnsi="Malgun Gothic" w:eastAsia="Malgun Gothic"/>
          <w:sz w:val="22"/>
        </w:rPr>
        <w:t>는 두 순위의 상관계수다. 0이면 과거 6개월 성과 순위와 이후 12개월 성과 순위 사이에 일정한 순서 관계가 없다는 뜻이고, 양수면 과거 순위가 높았던 종목이 이후에도 상대적으로 높은 수익률을 낼 경향이 있다는 뜻이다. 퍼센트 수익률이나 승률이 아니다.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12개월 Rank IC</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계산 가능한 월수</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하위 3분위</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192개월</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중간 3분위</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192개월</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상위 3분위</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192개월</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spacing w:after="160" w:line="320" w:lineRule="auto"/>
      </w:pPr>
      <w:r>
        <w:rPr>
          <w:rFonts w:ascii="Malgun Gothic" w:hAnsi="Malgun Gothic" w:eastAsia="Malgun Gothic"/>
          <w:sz w:val="22"/>
        </w:rPr>
        <w:t>표의 월별 종목 수가 248개의 3분의 1보다 작은 이유도 남겨 둬야 한다. 6개월 과거수익률과 12개월 미래수익률이 모두 계산되고, 뉴스가 같은 달에 관측된 종목만 남겼기 때문이다. 뉴스 패널의 월별 커버리지가 일정하지 않으므로 192개월은 달력상의 모든 월이 아니라 세 집단의 IC를 모두 계산할 수 있었던 월수다. 이 표를 시장 전체의 인기주 효과라고 읽을 수 없는 이유다.</w:t>
      </w:r>
    </w:p>
    <w:p>
      <w:pPr>
        <w:keepNext/>
        <w:spacing w:before="120" w:after="60"/>
        <w:jc w:val="center"/>
      </w:pPr>
      <w:r>
        <w:drawing>
          <wp:inline xmlns:a="http://schemas.openxmlformats.org/drawingml/2006/main" xmlns:pic="http://schemas.openxmlformats.org/drawingml/2006/picture">
            <wp:extent cx="5577840" cy="2881884"/>
            <wp:docPr id="5" name="Picture 5"/>
            <wp:cNvGraphicFramePr>
              <a:graphicFrameLocks noChangeAspect="1"/>
            </wp:cNvGraphicFramePr>
            <a:graphic>
              <a:graphicData uri="http://schemas.openxmlformats.org/drawingml/2006/picture">
                <pic:pic>
                  <pic:nvPicPr>
                    <pic:cNvPr id="0" name="03_observed_news_attention.png"/>
                    <pic:cNvPicPr/>
                  </pic:nvPicPr>
                  <pic:blipFill>
                    <a:blip r:embed="rId13"/>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상위와 하위의 평균 차이는 0.002에 불과하다. 앞선 작은 뉴스 표본에서 보였던 방향 차이를 그대로 일반화할 근거는 사라졌다.</w:t>
      </w:r>
    </w:p>
    <w:p>
      <w:pPr>
        <w:spacing w:after="160" w:line="320" w:lineRule="auto"/>
      </w:pPr>
      <w:r>
        <w:rPr>
          <w:rFonts w:ascii="Malgun Gothic" w:hAnsi="Malgun Gothic" w:eastAsia="Malgun Gothic"/>
          <w:sz w:val="22"/>
        </w:rPr>
        <w:t>12개월 미래수익률은 인접한 월끼리 서로 겹친다. 그래서 월별 IC 192개를 독립된 192번의 시행처럼 세지 않았다. 뉴스량 상위와 하위 집단의 IC 차이를 12개월 블록 단위로 5,000회 재표집했다. 95% 구간은 -0.041에서 0.046, 양측 p-value는 0.914였다. 이 표본에서는 뉴스가 많다는 사실만으로 모멘텀의 순위 예측력이 달라진다고 말할 수 없다.</w:t>
      </w:r>
    </w:p>
    <w:p>
      <w:pPr>
        <w:pStyle w:val="Heading2"/>
      </w:pPr>
      <w:r>
        <w:t>같은 관심을 측정했다면, 같은 종목을 골라야 한다</w:t>
      </w:r>
    </w:p>
    <w:p>
      <w:pPr>
        <w:spacing w:after="160" w:line="320" w:lineRule="auto"/>
      </w:pPr>
      <w:r>
        <w:rPr>
          <w:rFonts w:ascii="Malgun Gothic" w:hAnsi="Malgun Gothic" w:eastAsia="Malgun Gothic"/>
          <w:sz w:val="22"/>
        </w:rPr>
        <w:t>뉴스량과 회전율이 정말 비슷한 대리변수라면 적어도 상위 종목에서 상당한 겹침이 있어야 한다. 그래서 같은 종목·같은 달에서 두 변수의 순위상관과 상위 10% 종목의 겹침을 따로 계산했다. 평균 순위상관은 -0.036, 상위 10%의 평균 겹침은 7.2%였다. 회전율 상위 10%를 ‘뉴스가 많이 난 종목의 저렴한 대체물’이라고 부르기 어려운 수치다.</w:t>
      </w:r>
    </w:p>
    <w:p>
      <w:pPr>
        <w:spacing w:after="160" w:line="320" w:lineRule="auto"/>
      </w:pPr>
      <w:r>
        <w:rPr>
          <w:rFonts w:ascii="Malgun Gothic" w:hAnsi="Malgun Gothic" w:eastAsia="Malgun Gothic"/>
          <w:sz w:val="22"/>
        </w:rPr>
        <w:t>이 결과가 뉴스량을 더 신뢰하라는 뜻은 아니다. 뉴스는 적지만 회전율이 높은 집단의 모멘텀 IC는 0.051이었고, 뉴스와 회전율이 모두 높은 집단에서는 0.077이었다. 거래는 많지만 헤드라인은 적은 종목과, 둘 다 높은 종목은 다른 현상일 수 있다. 지금 데이터만으로 그 차이가 기관 수급인지, 산업 이슈인지, 호가가 얇아진 결과인지는 가를 수 없다.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내 편리한 가정이다. 뉴스량과 회전율은 상위 종목도 거의 공유하지 않았고, 뉴스량별 모멘텀 차이도 이 표본에서 남지 않았다. 둘을 같은 현상을 측정한 것처럼 합치면 안 된다.</w:t>
            </w:r>
          </w:p>
        </w:tc>
      </w:tr>
    </w:tbl>
    <w:p>
      <w:pPr>
        <w:spacing w:after="0"/>
      </w:pPr>
    </w:p>
    <w:p>
      <w:pPr>
        <w:pStyle w:val="Heading2"/>
      </w:pPr>
      <w:r>
        <w:t>여기서 멈춰야 하는 이유</w:t>
      </w:r>
    </w:p>
    <w:p>
      <w:pPr>
        <w:spacing w:after="160" w:line="320" w:lineRule="auto"/>
      </w:pPr>
      <w:r>
        <w:rPr>
          <w:rFonts w:ascii="Malgun Gothic" w:hAnsi="Malgun Gothic" w:eastAsia="Malgun Gothic"/>
          <w:sz w:val="22"/>
        </w:rPr>
        <w:t>이 결과만으로 인기주 효과가 없다고 말하면 같은 실수를 반복하게 된다. 뉴스가 없는 달은 실제로 아무 정보도 없었던 달이 아니라, 내가 수집한 원천에서 해당 종목의 헤드라인을 관측하지 못한 달일 수 있다. 기사 수는 내용, 조회 수, 검색량, 실제 주문 주체를 구분하지 않는다. 뉴스 패널에 있는 248개 종목도 시장 전체의 무작위 표본이 아니다.</w:t>
      </w:r>
    </w:p>
    <w:p>
      <w:pPr>
        <w:spacing w:after="160" w:line="320" w:lineRule="auto"/>
      </w:pPr>
      <w:r>
        <w:rPr>
          <w:rFonts w:ascii="Malgun Gothic" w:hAnsi="Malgun Gothic" w:eastAsia="Malgun Gothic"/>
          <w:sz w:val="22"/>
        </w:rPr>
        <w:t>따라서 다음 단계는 뉴스량을 팩터 하나로 추가하는 일이 아니다. 검색량은 개인의 주목을, 투자자별 수급은 주문 주체를, 호가 스프레드와 호가 불균형은 실제 거래 환경을 다른 방식으로 관측한다. 이 변수들이 같은 날 함께 움직이는 경우와 하나만 움직이는 경우를 먼저 분리해야 한다. 그래야 ‘관심이 높다’가 아니라 ‘어떤 종류의 관심 또는 주문 흐름이 있었는가’를 묻기 시작할 수 있다.</w:t>
      </w:r>
    </w:p>
    <w:p>
      <w:pPr>
        <w:spacing w:after="160" w:line="320" w:lineRule="auto"/>
      </w:pPr>
      <w:r>
        <w:rPr>
          <w:rFonts w:ascii="Malgun Gothic" w:hAnsi="Malgun Gothic" w:eastAsia="Malgun Gothic"/>
          <w:sz w:val="22"/>
        </w:rPr>
        <w:t>내가 2편에서 얻은 것은 인기주를 피하는 규칙이 아니다. 거래회전율 하위 10% 제외는 실행 제약으로 남길 수 있지만, 회전율 상위를 투자자 관심이라고 설명하려면 전혀 다른 증거가 필요하다는 경계다. 변수를 하나 더 넣기 전에 그 변수가 무엇을 보지 못하는지부터 적는 습관이, 이 장에서 가장 먼저 고쳐야 할 연구 설계였다.</w:t>
      </w:r>
    </w:p>
    <w:p>
      <w:pPr>
        <w:pStyle w:val="Heading2"/>
      </w:pPr>
      <w:r>
        <w:t>관측하지 않은 것을 이름 붙일 때 생기는 오류</w:t>
      </w:r>
    </w:p>
    <w:p>
      <w:pPr>
        <w:spacing w:after="160" w:line="320" w:lineRule="auto"/>
      </w:pPr>
      <w:r>
        <w:rPr>
          <w:rFonts w:ascii="Malgun Gothic" w:hAnsi="Malgun Gothic" w:eastAsia="Malgun Gothic"/>
          <w:sz w:val="22"/>
        </w:rPr>
        <w:t>회전율이 높은 뒤에 수익률이 낮았다는 결과는 여러 방식으로 생길 수 있다. 기대가 과도하게 반영돼 이후 수익률이 낮아졌을 수도 있다. 악재가 나와 기존 보유자가 매도하면서 회전율만 높아졌을 수도 있다. 지수 편입을 앞둔 기관 주문이 거래량을 키웠을 수도 있다. 이 세 경우는 회귀식에서 같은 회전율 한 칸으로 들어가지만, 경제적 의미와 다음에 검증할 데이터는 다르다.</w:t>
      </w:r>
    </w:p>
    <w:p>
      <w:pPr>
        <w:spacing w:after="160" w:line="320" w:lineRule="auto"/>
      </w:pPr>
      <w:r>
        <w:rPr>
          <w:rFonts w:ascii="Malgun Gothic" w:hAnsi="Malgun Gothic" w:eastAsia="Malgun Gothic"/>
          <w:sz w:val="22"/>
        </w:rPr>
        <w:t>특히 수익률을 설명하려는 변수와 수익률의 충격이 서로 영향을 주는 문제를 피할 수 없다. 가격이 급격히 움직이면 거래가 늘고 뉴스가 쏟아질 수 있다. 이때 회전율이나 뉴스량이 높은 달 뒤의 성과를 보고 ‘관심이 가격을 움직였다’고 말하면, 원인과 결과의 순서를 이미 가정한 셈이다. 이번 검증은 그 인과관계를 풀지 못한다. 나는 적어도 거래회전율 하나로 그 인과관계를 설명할 수 없다는 점까지만 확인했다.</w:t>
      </w:r>
    </w:p>
    <w:p>
      <w:pPr>
        <w:spacing w:after="160" w:line="320" w:lineRule="auto"/>
      </w:pPr>
      <w:r>
        <w:rPr>
          <w:rFonts w:ascii="Malgun Gothic" w:hAnsi="Malgun Gothic" w:eastAsia="Malgun Gothic"/>
          <w:sz w:val="22"/>
        </w:rPr>
        <w:t>이 구분은 과거 연구를 부정하려는 태도가 아니다. 많은 논문이 회전율을 통제변수 또는 유동성 대리변수로 쓰는 데에는 데이터 접근성이라는 현실적인 이유가 있다. 다만 통제변수로 썼던 숫자를 행동경제학의 ‘관심’으로 해석하는 순간에는 추가 검증이 필요하다. 변수의 계산식이 바뀌지 않아도, 문장 속에서 맡긴 역할이 바뀌면 연구의 주장도 커진다.</w:t>
      </w:r>
    </w:p>
    <w:p>
      <w:pPr>
        <w:spacing w:after="160" w:line="320" w:lineRule="auto"/>
      </w:pPr>
      <w:r>
        <w:rPr>
          <w:rFonts w:ascii="Malgun Gothic" w:hAnsi="Malgun Gothic" w:eastAsia="Malgun Gothic"/>
          <w:sz w:val="22"/>
        </w:rPr>
        <w:t>나 역시 이전에는 회전율 상위 종목의 결과를 보고 시장의 열기를 이야기하고 싶었다. 그 설명은 결과를 이해하기 편하게 만들지만, 왜 해당 종목만 거래됐는지는 말해 주지 않는다. 이번 표가 중요한 이유는 인기주 효과의 방향이 아니라, 편리한 설명 하나가 데이터에서 얼마나 쉽게 분해되는지를 보여 준다는 데 있다.</w:t>
      </w:r>
    </w:p>
    <w:p>
      <w:pPr>
        <w:pStyle w:val="Heading2"/>
      </w:pPr>
      <w:r>
        <w:t>다음 데이터는 어떻게 붙여야 하는가</w:t>
      </w:r>
    </w:p>
    <w:p>
      <w:pPr>
        <w:spacing w:after="160" w:line="320" w:lineRule="auto"/>
      </w:pPr>
      <w:r>
        <w:rPr>
          <w:rFonts w:ascii="Malgun Gothic" w:hAnsi="Malgun Gothic" w:eastAsia="Malgun Gothic"/>
          <w:sz w:val="22"/>
        </w:rPr>
        <w:t>검색량, 수급, 호가 데이터를 받는다고 문제가 자동으로 해결되지는 않는다. 먼저 각 데이터의 시간 단위를 맞춰야 한다. 월말 뉴스량과 장중 호가 스프레드를 같은 날짜라는 이유만으로 결합하면, 신호가 실제 주문 전에 알려졌는지 알 수 없다. 관심도 연구에서는 ‘어느 변수를 썼는가’보다 ‘언제 알 수 있었는가’가 먼저다.</w:t>
      </w:r>
    </w:p>
    <w:p>
      <w:pPr>
        <w:spacing w:after="160" w:line="320" w:lineRule="auto"/>
      </w:pPr>
      <w:r>
        <w:rPr>
          <w:rFonts w:ascii="Malgun Gothic" w:hAnsi="Malgun Gothic" w:eastAsia="Malgun Gothic"/>
          <w:sz w:val="22"/>
        </w:rPr>
        <w:t>그다음에는 변수들을 한 지수로 합치기보다, 네 가지 조합을 분리해 봐야 한다. 뉴스만 많은 경우, 뉴스와 개인 순매수가 함께 높은 경우, 거래만 폭증한 경우, 호가가 얇아진 경우는 모두 다른 사건일 수 있다. 이 분리를 한 뒤에야 각 사건이 다음 수익률·변동성·스프레드 변화와 어떤 관계를 갖는지 묻는 순서가 된다.</w:t>
      </w:r>
    </w:p>
    <w:p>
      <w:pPr>
        <w:spacing w:after="160" w:line="320" w:lineRule="auto"/>
      </w:pPr>
      <w:r>
        <w:rPr>
          <w:rFonts w:ascii="Malgun Gothic" w:hAnsi="Malgun Gothic" w:eastAsia="Malgun Gothic"/>
          <w:sz w:val="22"/>
        </w:rPr>
        <w:t>그 과정에서도 ‘관심’이라는 라벨을 너무 빨리 붙이지 않을 생각이다. 데이터가 허용하는 표현은 ‘뉴스 헤드라인 수가 높았던 종목’, ‘거래회전율이 높았던 종목’처럼 관측값 자체를 말하는 것부터다. 관심은 그 관측값들이 어느 정도 같은 방향으로 움직이고, 다른 설명보다 더 잘 남았을 때 마지막에 붙일 이름이다.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거래회전율에 붙였던 해석을 원천 뉴스 패널로 점검한 연구 기록이다.</w:t>
      </w:r>
    </w:p>
    <w:p>
      <w:pPr>
        <w:spacing w:after="160" w:line="320" w:lineRule="auto"/>
      </w:pPr>
      <w:r>
        <w:rPr>
          <w:rFonts w:ascii="Malgun Gothic" w:hAnsi="Malgun Gothic" w:eastAsia="Malgun Gothic"/>
          <w:sz w:val="22"/>
        </w:rPr>
        <w:t>이 글은 투자 권유가 아니다. 거래회전율에 붙였던 해석을 원천 뉴스 패널로 점검한 연구 기록이다.</w:t>
      </w:r>
    </w:p>
    <w:p>
      <w:r>
        <w:br w:type="page"/>
      </w:r>
    </w:p>
    <w:p>
      <w:pPr>
        <w:pStyle w:val="Heading1"/>
      </w:pPr>
      <w:r>
        <w:t>[문병로 교수의 메트릭 스튜디오 02] 2장 시장관찰 ③ 여러 모델의 합의는 증거를 늘리는가</w:t>
      </w:r>
    </w:p>
    <w:p>
      <w:pPr>
        <w:spacing w:after="160" w:line="320" w:lineRule="auto"/>
      </w:pPr>
      <w:r>
        <w:rPr>
          <w:rFonts w:ascii="Malgun Gothic" w:hAnsi="Malgun Gothic" w:eastAsia="Malgun Gothic"/>
          <w:sz w:val="22"/>
        </w:rPr>
        <w:t>1편에서는 유동성 기준이 바뀌어도 남는 결과가 있는지 봤고, 2편에서는 거래회전율을 관심이라는 한 단어로 부르는 일을 멈췄다. 그러고 나면 자연스럽게 다음 보완책이 떠오른다. 모델 하나를 믿기 어렵다면 여러 모델이 동시에 고른 종목만 사면 되지 않을까.</w:t>
      </w:r>
    </w:p>
    <w:p>
      <w:pPr>
        <w:spacing w:after="160" w:line="320" w:lineRule="auto"/>
      </w:pPr>
      <w:r>
        <w:rPr>
          <w:rFonts w:ascii="Malgun Gothic" w:hAnsi="Malgun Gothic" w:eastAsia="Malgun Gothic"/>
          <w:sz w:val="22"/>
        </w:rPr>
        <w:t>전략을 만들 때 나는 실제로 이런 방식으로 불안을 줄여 왔다. 한 신호가 약해 보이면 조건을 더 붙였다. 재무가 좋고, 가격 흐름도 괜찮고, 유동성도 충분한 종목은 한 조건만 통과한 종목보다 더 믿을 만해 보인다. 문제는 ‘조건을 더 붙였다’는 말이 무엇을 의미하는지였다. 필터를 추가한 것인지, 서로 다른 정보를 합친 것인지, 같은 정보를 여러 번 센 것인지가 섞여 있었다.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pStyle w:val="Heading2"/>
      </w:pPr>
      <w:r>
        <w:t>필터를 더한 것과 증거를 더한 것은 다르다</w:t>
      </w:r>
    </w:p>
    <w:p>
      <w:pPr>
        <w:spacing w:after="160" w:line="320" w:lineRule="auto"/>
      </w:pPr>
      <w:r>
        <w:rPr>
          <w:rFonts w:ascii="Malgun Gothic" w:hAnsi="Malgun Gothic" w:eastAsia="Malgun Gothic"/>
          <w:sz w:val="22"/>
        </w:rPr>
        <w:t xml:space="preserve">거래회전율 하위 종목을 제외하는 일은 우선 거래하기 어려운 종목을 제거하는 </w:t>
      </w:r>
      <w:r>
        <w:rPr>
          <w:rFonts w:ascii="Malgun Gothic" w:hAnsi="Malgun Gothic" w:eastAsia="Malgun Gothic"/>
          <w:b/>
          <w:sz w:val="22"/>
        </w:rPr>
        <w:t>필터</w:t>
      </w:r>
      <w:r>
        <w:rPr>
          <w:rFonts w:ascii="Malgun Gothic" w:hAnsi="Malgun Gothic" w:eastAsia="Malgun Gothic"/>
          <w:sz w:val="22"/>
        </w:rPr>
        <w:t xml:space="preserve">다. 반전이나 모멘텀은 그 안에서 어느 종목을 살지 순위를 매기는 </w:t>
      </w:r>
      <w:r>
        <w:rPr>
          <w:rFonts w:ascii="Malgun Gothic" w:hAnsi="Malgun Gothic" w:eastAsia="Malgun Gothic"/>
          <w:b/>
          <w:sz w:val="22"/>
        </w:rPr>
        <w:t>신호</w:t>
      </w:r>
      <w:r>
        <w:rPr>
          <w:rFonts w:ascii="Malgun Gothic" w:hAnsi="Malgun Gothic" w:eastAsia="Malgun Gothic"/>
          <w:sz w:val="22"/>
        </w:rPr>
        <w:t>다. 소형주도 투자 가능 범위를 좁히는 조건으로 쓸 수 있고, 작은 시가총액 자체에 보상을 기대하는 신호로 쓸 수도 있다. 같은 숫자라도 전략 안에서 맡는 역할이 다르면 결과가 달라진 이유도 달라진다.</w:t>
      </w:r>
    </w:p>
    <w:p>
      <w:pPr>
        <w:spacing w:after="160" w:line="320" w:lineRule="auto"/>
      </w:pPr>
      <w:r>
        <w:rPr>
          <w:rFonts w:ascii="Malgun Gothic" w:hAnsi="Malgun Gothic" w:eastAsia="Malgun Gothic"/>
          <w:sz w:val="22"/>
        </w:rPr>
        <w:t>지난 프로젝트에서 한국 주식 표본의 모멘텀 성과가 기대보다 약했을 때, 나는 재무 기준을 덧붙이면 약점을 보완할 수 있다고 생각했다. 재무제표와 가격은 적어도 다른 시점과 다른 생성 과정에서 나온 정보일 수 있다. 다만 이번 3편의 실험은 재무·공시 데이터를 붙인 실험이 아니다. 수정주가, 거래량, 시가총액에서만 나온 규칙들이 서로에게 표를 던지는 실험이다.</w:t>
      </w:r>
    </w:p>
    <w:p>
      <w:pPr>
        <w:spacing w:after="160" w:line="320" w:lineRule="auto"/>
      </w:pPr>
      <w:r>
        <w:rPr>
          <w:rFonts w:ascii="Malgun Gothic" w:hAnsi="Malgun Gothic" w:eastAsia="Malgun Gothic"/>
          <w:sz w:val="22"/>
        </w:rPr>
        <w:t>여기서는 네 종류의 신호를 사용했다. 지난 1개월 수익률이 낮았던 종목을 고르는 반전, 지난 6개월 수익률이 높았던 종목을 고르는 모멘텀, 최근 12개월 수익률 변동성이 낮았던 종목을 고르는 저변동성, 시가총액이 작은 종목을 고르는 소형주다. 각 신호에 유동성 상위 50%·70%·90%·전체라는 네 유니버스와 보유 종목 수 20·30·50개라는 세 설정을 붙였다. 따라서 4개 신호 × 4개 유니버스 × 3개 보유 종목 수, 총 48개 구성요소 전략이 생긴다.</w:t>
      </w:r>
    </w:p>
    <w:p>
      <w:pPr>
        <w:spacing w:after="160" w:line="320" w:lineRule="auto"/>
      </w:pPr>
      <w:r>
        <w:rPr>
          <w:rFonts w:ascii="Malgun Gothic" w:hAnsi="Malgun Gothic" w:eastAsia="Malgun Gothic"/>
          <w:sz w:val="22"/>
        </w:rPr>
        <w:t>48이라는 숫자가 48개의 독립된 연구 결과를 뜻하지는 않는다. 예를 들어 저변동성·유동성 상위 70%·30종목과 저변동성·유동성 상위 90%·30종목은 후보군의 상당 부분을 공유한다. 반전과 모멘텀도 서로 반대 방향의 순위를 쓰지만 같은 월말 가격 패널 위에서 계산된다. 이름이 다른 모델을 많이 만들었다는 사실만으로 오류가 서로 상쇄된다고 볼 수 없다.</w:t>
      </w:r>
    </w:p>
    <w:p>
      <w:pPr>
        <w:pStyle w:val="Heading2"/>
      </w:pPr>
      <w:r>
        <w:t>합의 포트폴리오를 어떻게 만들었는가</w:t>
      </w:r>
    </w:p>
    <w:p>
      <w:pPr>
        <w:spacing w:after="160" w:line="320" w:lineRule="auto"/>
      </w:pPr>
      <w:r>
        <w:rPr>
          <w:rFonts w:ascii="Malgun Gothic" w:hAnsi="Malgun Gothic" w:eastAsia="Malgun Gothic"/>
          <w:sz w:val="22"/>
        </w:rPr>
        <w:t>매월 48개 전략이 선택한 종목마다 한 표씩 더했다. 그 달에 표를 많이 받은 상위 30개 종목을 같은 비중으로 보유하는 것이 합의 포트폴리오다. 여기서 30개는 ‘가장 성과가 좋았던 종목 수’라서 고른 값이 아니다. 합의가 종목을 더 좁게 압축하는 구조 자체를 보기 위해 고정한 보유 종목 수다. 다른 보유 종목 수에서도 같은 결과가 난다고 주장할 수는 없다.</w:t>
      </w:r>
    </w:p>
    <w:p>
      <w:pPr>
        <w:spacing w:after="160" w:line="320" w:lineRule="auto"/>
      </w:pPr>
      <w:r>
        <w:rPr>
          <w:rFonts w:ascii="Malgun Gothic" w:hAnsi="Malgun Gothic" w:eastAsia="Malgun Gothic"/>
          <w:sz w:val="22"/>
        </w:rPr>
        <w:t>상위 30개 종목은 평균 13.8표를 받았다. 처음에는 이 숫자를 확신의 크기처럼 읽었다. 서로 다른 모델 열세 개 이상이 한 종목을 골랐다면, 그 종목은 여러 번 검증을 통과한 것처럼 보인다. 그러나 이 표는 독립된 연구자 열세 명의 판단이 아니다. 같은 가격·거래량·시가총액 패널을 서로 다른 창으로 잘라 본 결과다.</w:t>
      </w:r>
    </w:p>
    <w:p>
      <w:pPr>
        <w:spacing w:after="160" w:line="320" w:lineRule="auto"/>
      </w:pPr>
      <w:r>
        <w:rPr>
          <w:rFonts w:ascii="Malgun Gothic" w:hAnsi="Malgun Gothic" w:eastAsia="Malgun Gothic"/>
          <w:sz w:val="22"/>
        </w:rPr>
        <w:t xml:space="preserve">이 실험에는 거래비용과 체결 제약을 넣지 않았다. 1편의 실행 가능성 검증과 다른 목적의, 신호 구조만 보는 비교다. 그래서 여기서 양의 성과가 나왔어도 실제 운용 가능한 전략이라고 말할 수 없었고, 음의 성과가 나왔다고 네 신호 전체가 무가치하다고 말할 수도 없다. 확인하려는 것은 한 가지였다. </w:t>
      </w:r>
      <w:r>
        <w:rPr>
          <w:rFonts w:ascii="Malgun Gothic" w:hAnsi="Malgun Gothic" w:eastAsia="Malgun Gothic"/>
          <w:b/>
          <w:sz w:val="22"/>
        </w:rPr>
        <w:t>표를 많이 받은 종목만 모으는 압축 규칙이, 구성요소 전략을 그대로 평균내는 것보다 더 안정적인가.</w:t>
      </w:r>
    </w:p>
    <w:p>
      <w:pPr>
        <w:pStyle w:val="Heading2"/>
      </w:pPr>
      <w:r>
        <w:t>같은 48개 모델을 두 방식으로 조합해 봤다</w:t>
      </w:r>
    </w:p>
    <w:p>
      <w:pPr>
        <w:spacing w:after="160" w:line="320" w:lineRule="auto"/>
      </w:pPr>
      <w:r>
        <w:rPr>
          <w:rFonts w:ascii="Malgun Gothic" w:hAnsi="Malgun Gothic" w:eastAsia="Malgun Gothic"/>
          <w:sz w:val="22"/>
        </w:rPr>
        <w:t>비교 대상은 두 개다. 첫째는 매월 표가 많은 상위 30개 종목만 담는 합의 포트폴리오다. 둘째는 48개 구성요소 전략의 월별 수익률을 똑같이 평균낸 기준선이다. 후자는 실제로 한 개의 계좌에서 그대로 구현한 포트폴리오가 아니라, 같은 재료를 ‘압축하지 않고 평균내면’ 어떤 수익률 흐름이 나오는지 보는 비교 기준이다. 이 둘을 모두 앙상블이라고 부르면, 왜 결과가 달라졌는지 보이지 않는다.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비교 대상</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비교 가능한 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이 표가 뜻하는 것</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표가 많은 상위 30종목</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309개월</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공통 선호가 강한 종목으로 압축</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309개월</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구성요소의 월 수익률을 기계적으로 평균</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6" name="Picture 6"/>
            <wp:cNvGraphicFramePr>
              <a:graphicFrameLocks noChangeAspect="1"/>
            </wp:cNvGraphicFramePr>
            <a:graphic>
              <a:graphicData uri="http://schemas.openxmlformats.org/drawingml/2006/picture">
                <pic:pic>
                  <pic:nvPicPr>
                    <pic:cNvPr id="0" name="04_model_consensus_cumulative.png"/>
                    <pic:cNvPicPr/>
                  </pic:nvPicPr>
                  <pic:blipFill>
                    <a:blip r:embed="rId14"/>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합의 포트폴리오는 309개월 동안 100을 2.8까지 줄였다. 반면 같은 기간 48개 구성요소 전략의 월 수익률 평균은 CAGR 5.8%였다. 두 수익률 흐름의 월별 상관은 0.895로 매우 높았다. 같은 재료를 사용했기 때문에 대체로 같은 방향으로 움직였지만, 표가 가장 많이 모인 종목만 남기는 단계에서 손실 집중이 더 커졌다.</w:t>
      </w:r>
    </w:p>
    <w:p>
      <w:pPr>
        <w:spacing w:after="160" w:line="320" w:lineRule="auto"/>
      </w:pPr>
      <w:r>
        <w:rPr>
          <w:rFonts w:ascii="Malgun Gothic" w:hAnsi="Malgun Gothic" w:eastAsia="Malgun Gothic"/>
          <w:sz w:val="22"/>
        </w:rPr>
        <w:t>이 차이를 ‘평균은 분산투자이고 합의는 집중투자라서 그렇다’고만 말하면 충분하지 않다. 무엇에 집중됐는지가 핵심이다. 합의 포트폴리오는 48개 모델이 공통으로 선호한 특성, 즉 이 데이터 패널에서 반복적으로 두드러진 가격 경로나 시가총액 특성에 자본을 몰았다. 구성요소 전략 평균은 서로 다른 유동성 범위와 보유 종목 수가 남기는 차이를 일부 유지한다. 둘은 같은 신호를 썼지만, 오류를 다루는 방식이 달랐다.</w:t>
      </w:r>
    </w:p>
    <w:p>
      <w:pPr>
        <w:pStyle w:val="Heading2"/>
      </w:pPr>
      <w:r>
        <w:t>이 결과가 말하는 범위</w:t>
      </w:r>
    </w:p>
    <w:p>
      <w:pPr>
        <w:spacing w:after="160" w:line="320" w:lineRule="auto"/>
      </w:pPr>
      <w:r>
        <w:rPr>
          <w:rFonts w:ascii="Malgun Gothic" w:hAnsi="Malgun Gothic" w:eastAsia="Malgun Gothic"/>
          <w:sz w:val="22"/>
        </w:rPr>
        <w:t>이 결과는 ‘앙상블은 나쁘다’를 말하지 않는다. 실패한 것은 가격·거래량·시가총액이라는 하나의 정보원을 여러 번 변형한 뒤, 표 수가 많은 종목만 남기면 증거가 늘어난다고 본 규칙이다. 수익성, 가치, 공시 텍스트, 뉴스, 투자자별 수급처럼 서로 다른 데이터 생성 과정에서 나온 신호가 만나는 경우까지 이 실험으로 판단할 수 없다.</w:t>
      </w:r>
    </w:p>
    <w:p>
      <w:pPr>
        <w:spacing w:after="160" w:line="320" w:lineRule="auto"/>
      </w:pPr>
      <w:r>
        <w:rPr>
          <w:rFonts w:ascii="Malgun Gothic" w:hAnsi="Malgun Gothic" w:eastAsia="Malgun Gothic"/>
          <w:sz w:val="22"/>
        </w:rPr>
        <w:t>그렇다고 재무 신호 하나를 붙이면 바로 독립성이 생기는 것도 아니다. 재무제표의 기준일이 아니라 공시일, 정정 공시, 발표 지연까지 맞추지 않으면 당시 투자자가 알 수 없던 정보를 과거에 가져오는 오류가 생긴다. 가격 신호와 재무 신호가 다른 데이터를 쓴다는 사실과, 두 데이터가 실제로 그 시점에 이용 가능했다는 사실은 별개의 검증이다.</w:t>
      </w:r>
    </w:p>
    <w:p>
      <w:pPr>
        <w:spacing w:after="160" w:line="320" w:lineRule="auto"/>
      </w:pPr>
      <w:r>
        <w:rPr>
          <w:rFonts w:ascii="Malgun Gothic" w:hAnsi="Malgun Gothic" w:eastAsia="Malgun Gothic"/>
          <w:sz w:val="22"/>
        </w:rPr>
        <w:t>또 하나 남는 질문은 선택 종목의 겹침만으로 독립성을 판정할 수 있는가다. 두 모델이 같은 종목을 거의 고르지 않아도 유동성이 마르는 달에 함께 약해질 수 있다. 반대로 일부 종목이 겹쳐도 한쪽이 공시 이후의 재무 변화를, 다른 한쪽이 가격 추세를 본다면 같은 오류가 반복된다고 단정할 수 없다. 앞으로 확인해야 할 것은 ‘몇 표를 받았는가’보다 각 표가 어떤 데이터에서 나왔고 어느 손실 구간에서 함께 틀리는가다.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여러 모델을 쓰는 일 자체가 아니다. 같은 데이터의 다른 변형이 한 종목에 표를 많이 던졌다는 사실을 독립된 증거의 개수로 세는 방식이다. 표 수는 확신의 크기가 아니라, 모델 집합이 특정 특성을 얼마나 반복해서 선호하는지의 지표일 수 있다.</w:t>
            </w:r>
          </w:p>
        </w:tc>
      </w:tr>
    </w:tbl>
    <w:p>
      <w:pPr>
        <w:spacing w:after="0"/>
      </w:pPr>
    </w:p>
    <w:p>
      <w:pPr>
        <w:spacing w:after="160" w:line="320" w:lineRule="auto"/>
      </w:pPr>
      <w:r>
        <w:rPr>
          <w:rFonts w:ascii="Malgun Gothic" w:hAnsi="Malgun Gothic" w:eastAsia="Malgun Gothic"/>
          <w:sz w:val="22"/>
        </w:rPr>
        <w:t>3편에서 얻은 것은 다음 앙상블의 설계 조건이다. 가격 기반 신호 하나와 뉴스·공시·재무처럼 다른 관측 창에서 나온 신호 하나가 같은 종목을 고를 때, 먼저 두 신호가 함께 실패하는 비율과 선택 종목 수를 봐야 한다. 성과가 높은 합의 점수를 찾기 전에, 합의를 만든 증거가 서로 다른 오류를 낼 수 있는지부터 확인해야 한다.</w:t>
      </w:r>
    </w:p>
    <w:p>
      <w:pPr>
        <w:pStyle w:val="Heading2"/>
      </w:pPr>
      <w:r>
        <w:t>다음 합의를 만들기 전에 확인할 세 가지</w:t>
      </w:r>
    </w:p>
    <w:p>
      <w:pPr>
        <w:spacing w:after="160" w:line="320" w:lineRule="auto"/>
      </w:pPr>
      <w:r>
        <w:rPr>
          <w:rFonts w:ascii="Malgun Gothic" w:hAnsi="Malgun Gothic" w:eastAsia="Malgun Gothic"/>
          <w:sz w:val="22"/>
        </w:rPr>
        <w:t>첫째는 출처다. 두 신호가 계산식만 다른지, 아니면 실제로 다른 데이터 생성 과정에서 왔는지를 구분해야 한다. 가격의 6개월 변화율과 12개월 변동성은 둘 다 가격 시계열에서 나온다. 반면 공시가 발표된 날짜와 가격 변화는 서로 다른 관측 창을 제공할 수 있다. 다만 공시가 실제로 공개된 시점을 맞추지 못하면, 출처가 달라도 독립적인 증거가 아니다.</w:t>
      </w:r>
    </w:p>
    <w:p>
      <w:pPr>
        <w:spacing w:after="160" w:line="320" w:lineRule="auto"/>
      </w:pPr>
      <w:r>
        <w:rPr>
          <w:rFonts w:ascii="Malgun Gothic" w:hAnsi="Malgun Gothic" w:eastAsia="Malgun Gothic"/>
          <w:sz w:val="22"/>
        </w:rPr>
        <w:t>둘째는 시간이다. 뉴스와 재무 데이터는 ‘현재 값’이 아니라 당시 이용 가능한 값이어야 한다. 예를 들어 12월 말 포트폴리오에 12월 말 재무제표를 붙였다고 해도, 그 재무제표가 2월에 공시됐다면 12월의 의사결정 근거가 될 수 없다. 가격 데이터는 매일 갱신되지만 공시·뉴스·수급 데이터는 공개 시점과 수정 시점이 다르다. 합의 모델은 이 시간 차이를 무시하는 순간, 서로 다른 증거를 합치는 것이 아니라 미래 정보를 과거에 섞는 모델이 된다.</w:t>
      </w:r>
    </w:p>
    <w:p>
      <w:pPr>
        <w:spacing w:after="160" w:line="320" w:lineRule="auto"/>
      </w:pPr>
      <w:r>
        <w:rPr>
          <w:rFonts w:ascii="Malgun Gothic" w:hAnsi="Malgun Gothic" w:eastAsia="Malgun Gothic"/>
          <w:sz w:val="22"/>
        </w:rPr>
        <w:t>셋째는 손실 구간이다. 선택 종목의 겹침이 낮다는 사실만으로 두 모델이 분산된다고 할 수 없다. 평소에는 다른 종목을 고르다가도 유동성이 줄어드는 달에 함께 손실을 낼 수 있다. 따라서 합의의 성과를 보기 전에 각 신호의 손실 월, 최대낙폭 구간, 거래 가능 종목 수가 얼마나 같이 움직였는지 확인해야 한다. 포트폴리오에서 자산 상관을 보는 것처럼, 연구 단계에서도 가설의 실패 상관을 봐야 한다.</w:t>
      </w:r>
    </w:p>
    <w:p>
      <w:pPr>
        <w:spacing w:after="160" w:line="320" w:lineRule="auto"/>
      </w:pPr>
      <w:r>
        <w:rPr>
          <w:rFonts w:ascii="Malgun Gothic" w:hAnsi="Malgun Gothic" w:eastAsia="Malgun Gothic"/>
          <w:sz w:val="22"/>
        </w:rPr>
        <w:t>이 세 가지를 확인하지 않고 표를 늘리면 오히려 더 위험할 수 있다. 합의 점수가 높은 종목은 모델이 많이 동의한 종목이 아니라, 내가 만든 모델 집합의 공통 편향에 가장 잘 맞는 종목일 수 있기 때문이다. 3편의 -12.9%는 그 편향이 실제로 어떤 위험을 뜻하는지 설명하지 않는다. 다만 표 수와 증거 수를 같은 것으로 놓으면 안 된다는 반례는 된다.</w:t>
      </w:r>
    </w:p>
    <w:p>
      <w:pPr>
        <w:pStyle w:val="Heading2"/>
      </w:pPr>
      <w:r>
        <w:t>재무를 넣는다면 무엇이 달라지는가</w:t>
      </w:r>
    </w:p>
    <w:p>
      <w:pPr>
        <w:spacing w:after="160" w:line="320" w:lineRule="auto"/>
      </w:pPr>
      <w:r>
        <w:rPr>
          <w:rFonts w:ascii="Malgun Gothic" w:hAnsi="Malgun Gothic" w:eastAsia="Malgun Gothic"/>
          <w:sz w:val="22"/>
        </w:rPr>
        <w:t>지난 프로젝트에서 확인한 한국 시장의 약한 모멘텀은, 재무 기준을 붙이는 질문을 더 중요하게 만든다. 하지만 ‘모멘텀이 약하니 재무를 더하자’는 말만으로는 연구 질문이 되지 않는다. 재무가 모멘텀이 놓치는 정보를 제공하는지, 아니면 이미 가격에 반영된 정보를 늦게 다시 읽는지, 두 신호가 충돌할 때 어느 쪽이 오류를 줄이는지를 따로 확인해야 한다.</w:t>
      </w:r>
    </w:p>
    <w:p>
      <w:pPr>
        <w:spacing w:after="160" w:line="320" w:lineRule="auto"/>
      </w:pPr>
      <w:r>
        <w:rPr>
          <w:rFonts w:ascii="Malgun Gothic" w:hAnsi="Malgun Gothic" w:eastAsia="Malgun Gothic"/>
          <w:sz w:val="22"/>
        </w:rPr>
        <w:t>그래서 다음 실험의 비교 대상은 재무·가격 합의 포트폴리오 하나가 아니라 세 가지가 되어야 한다. 가격 신호만 쓴 포트폴리오, 시점일치를 통과한 재무 신호만 쓴 포트폴리오, 그리고 두 신호가 동시에 선택한 포트폴리오다. 세 결과를 같이 놓아야 합의가 새 정보를 더했는지, 단지 종목 수를 줄였는지 구분할 수 있다. 그 전까지 재무는 ‘보완재’가 아니라 아직 검증되지 않은 다른 관측 창이다.</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합의 포트폴리오 월별 수익률: https://github.com/Rowoon-Lee5/metric_studio_by_moon/blob/main/results/consensus_benchmark_monthly.csv</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되는지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되는지 점검한 연구 기록이다.</w:t>
      </w:r>
    </w:p>
    <w:p>
      <w:r>
        <w:br w:type="page"/>
      </w:r>
    </w:p>
    <w:p>
      <w:pPr>
        <w:pStyle w:val="Heading1"/>
      </w:pPr>
      <w:r>
        <w:t>[문병로 교수의 메트릭 스튜디오 02] 2장 시장관찰 ④ 시장 상태는 모델의 공동 실패로 읽을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그러면 한 모델의 승자를 고르는 일보다, 여러 모델이 같은 시점에 무너지는 장면을 기록하는 편이 더 낫지 않을까. 2장에 모멘텀과 반전의 상반된 결과가 함께 나온 이유도 이 질문으로 읽혔다.</w:t>
      </w:r>
    </w:p>
    <w:p>
      <w:pPr>
        <w:spacing w:after="160" w:line="320" w:lineRule="auto"/>
      </w:pPr>
      <w:r>
        <w:rPr>
          <w:rFonts w:ascii="Malgun Gothic" w:hAnsi="Malgun Gothic" w:eastAsia="Malgun Gothic"/>
          <w:sz w:val="22"/>
        </w:rPr>
        <w:t>어떤 표본에서는 많이 오른 종목이 더 오르는 모멘텀이 보이고, 다른 표본에서는 최근에 덜 오른 종목이 회복하는 반전이 보인다. 둘 다 약한 표본도 있다. 처음에는 어느 쪽이 한국 시장에 맞는지 고르려 했다. 기간을 조금 바꾸고 유동성 기준을 바꿀 때마다 답이 달라지자, 더 좋은 파라미터를 찾는 일은 끝이 없었다.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이 문장을 읽고 질문을 바꿨다. 모멘텀과 반전 중 어느 전략이 다음 달에 이길지를 묻는 대신, 반전·모멘텀·저변동성·소형주가 자기 기준에서 동시에 크게 기대를 밑돈 달이 있는지 보자. 한 모델만 약한 달은 그 모델의 문제일 수 있다. 서로 다른 규칙이 함께 기대를 배반하면, 공통된 시장 환경이나 공통 데이터의 한계가 먼저 의심된다.</w:t>
      </w:r>
    </w:p>
    <w:p>
      <w:pPr>
        <w:spacing w:after="160" w:line="320" w:lineRule="auto"/>
      </w:pPr>
      <w:r>
        <w:rPr>
          <w:rFonts w:ascii="Malgun Gothic" w:hAnsi="Malgun Gothic" w:eastAsia="Malgun Gothic"/>
          <w:sz w:val="22"/>
        </w:rPr>
        <w:t>다만 여기에는 처음부터 피해야 할 과장이 있다. 네 신호 모두 가격·거래량·시가총액 패널에서 나왔다. 이들이 함께 실패한다는 사실은 시장을 가격보다 먼저 본다는 뜻이 아니다. 공동 실패도 결국 월말 가격으로 확인한 사건이다. 이 지표가 할 수 있는 일은 ‘다음 달을 맞힌다’는 선언이 아니라, 내가 의존한 설명들이 같은 달에 동시에 약해졌는지를 기록하는 일이다.</w:t>
      </w:r>
    </w:p>
    <w:p>
      <w:pPr>
        <w:pStyle w:val="Heading2"/>
      </w:pPr>
      <w:r>
        <w:t>실패를 어떻게 셌는가</w:t>
      </w:r>
    </w:p>
    <w:p>
      <w:pPr>
        <w:spacing w:after="160" w:line="320" w:lineRule="auto"/>
      </w:pPr>
      <w:r>
        <w:rPr>
          <w:rFonts w:ascii="Malgun Gothic" w:hAnsi="Malgun Gothic" w:eastAsia="Malgun Gothic"/>
          <w:sz w:val="22"/>
        </w:rPr>
        <w:t>각 월말에 네 개의 30종목 포트폴리오를 만들었다. 반전은 지난 1개월 수익률이 낮았던 종목, 모멘텀은 지난 6개월 수익률이 높았던 종목, 저변동성은 최근 12개월 변동성이 낮았던 종목, 소형주는 시가총액이 작은 종목을 고른다. 모두 다음 한 달의 수정주가 수익률로 평가했다.</w:t>
      </w:r>
    </w:p>
    <w:p>
      <w:pPr>
        <w:spacing w:after="160" w:line="320" w:lineRule="auto"/>
      </w:pPr>
      <w:r>
        <w:rPr>
          <w:rFonts w:ascii="Malgun Gothic" w:hAnsi="Malgun Gothic" w:eastAsia="Malgun Gothic"/>
          <w:sz w:val="22"/>
        </w:rPr>
        <w:t>실패를 단순히 수익률이 음수인 달로 정의하지는 않았다. 신호마다 평소 수익률 수준과 변동성이 다르기 때문이다. 각 신호의 월 t 실현수익률을 직전 36개월 수익률의 평균·표준편차와 비교했다. 직전 평균보다 한 표준편차 이상 낮으면 그 신호를 한 번 실패로 표시했다. 최소 24개월의 과거수익률이 있을 때만 계산했다.</w:t>
      </w:r>
    </w:p>
    <w:p>
      <w:pPr>
        <w:spacing w:after="160" w:line="320" w:lineRule="auto"/>
      </w:pPr>
      <w:r>
        <w:rPr>
          <w:rFonts w:ascii="Malgun Gothic" w:hAnsi="Malgun Gothic" w:eastAsia="Malgun Gothic"/>
          <w:sz w:val="22"/>
        </w:rPr>
        <w:t>여기서 ‘한 표준편차 아래’는 정규분포의 확률을 뜻하지 않는다. 수익률이 정규분포라고 가정한 것도 아니다. 서로 다른 신호의 예상 밖 부진을 같은 내부 척도로 표시하기 위한 기준일 뿐이다. 36개월과 한 표준편차도 검증된 최적값이 아니라, 이 연구에서 고정한 관측 규칙이다.</w:t>
      </w:r>
    </w:p>
    <w:p>
      <w:pPr>
        <w:pStyle w:val="Heading2"/>
      </w:pPr>
      <w:r>
        <w:t>먼저 버린 결론: 같은 달 수익률은 예측 검증이 아니다</w:t>
      </w:r>
    </w:p>
    <w:p>
      <w:pPr>
        <w:spacing w:after="160" w:line="320" w:lineRule="auto"/>
      </w:pPr>
      <w:r>
        <w:rPr>
          <w:rFonts w:ascii="Malgun Gothic" w:hAnsi="Malgun Gothic" w:eastAsia="Malgun Gothic"/>
          <w:sz w:val="22"/>
        </w:rPr>
        <w:t>처음 구현에서는 공동 실패 수와 같은 보유기간의 시장수익률을 비교했다. 그러면 ‘실패가 많았던 달에 시장도 나빴다’는 관계는 볼 수 있다. 하지만 공동 실패 자체가 그 달의 실현수익률로 계산되므로, 그 결과를 다음 달 예측처럼 읽으면 시간 순서가 뒤집힌다. 같은 수익률에서 만든 설명변수와 결과변수를 비교한 셈이기 때문이다.</w:t>
      </w:r>
    </w:p>
    <w:p>
      <w:pPr>
        <w:spacing w:after="160" w:line="320" w:lineRule="auto"/>
      </w:pPr>
      <w:r>
        <w:rPr>
          <w:rFonts w:ascii="Malgun Gothic" w:hAnsi="Malgun Gothic" w:eastAsia="Malgun Gothic"/>
          <w:sz w:val="22"/>
        </w:rPr>
        <w:t>그래서 기존의 극적인 그래프와 ‘실패가 많을수록 다음 달 시장수익률이 나빠졌다’는 문장을 삭제했다. 이 지점은 표현을 순화할 문제가 아니라 실험을 다시 해야 하는 문제였다. 월 t의 수익률이 확정된 뒤에 실패 상태를 관측하고, 그 다음 월 t+1의 수익률을 별도 목표값으로 두었다.</w:t>
      </w:r>
    </w:p>
    <w:p>
      <w:pPr>
        <w:spacing w:after="160" w:line="320" w:lineRule="auto"/>
      </w:pPr>
      <w:r>
        <w:rPr>
          <w:rFonts w:ascii="Malgun Gothic" w:hAnsi="Malgun Gothic" w:eastAsia="Malgun Gothic"/>
          <w:sz w:val="22"/>
        </w:rPr>
        <w:t>여기서 말하는 시장수익률도 정확히 적어야 한다. KOSPI나 KOSDAQ 지수 수익률이 아니다. 네 신호를 계산할 수 있고 21일 평균 거래대금이 있는 종목들의 다음 달 수정주가 수익률을 동일가중한 값이다. 따라서 아래 표는 ‘한국 시장 전체의 경기 예측’이 아니라, 이 실험에 들어온 적격 종목군에서 공동 실패가 다음 달 단면 수익률과 관계가 있는지를 보는 표다.</w:t>
      </w:r>
    </w:p>
    <w:p>
      <w:pPr>
        <w:pStyle w:val="Heading2"/>
      </w:pPr>
      <w:r>
        <w:t>한 달 앞으로 밀어 다시 계산한 결과</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월 t에 동시에 실패한 신호 수</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 t+1 적격 종목군 평균수익률</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읽는 법</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1.34%</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209</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기준 상태</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1.00%</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기준 상태와 큰 차이 없음</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1.40%</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30</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방향이 이어지지 않음</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3.16%</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표본이 한 번뿐이라 해석 불가</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-5.81%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평균은 낮지만 표본이 너무 작음</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7" name="Picture 7"/>
            <wp:cNvGraphicFramePr>
              <a:graphicFrameLocks noChangeAspect="1"/>
            </wp:cNvGraphicFramePr>
            <a:graphic>
              <a:graphicData uri="http://schemas.openxmlformats.org/drawingml/2006/picture">
                <pic:pic>
                  <pic:nvPicPr>
                    <pic:cNvPr id="0" name="05_model_failure_coherence.png"/>
                    <pic:cNvPicPr/>
                  </pic:nvPicPr>
                  <pic:blipFill>
                    <a:blip r:embed="rId15"/>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0개·1개·2개 실패 상태의 다음 달 평균수익률은 1.0%에서 1.4% 범위에 있다. 실패 수가 하나 늘어날수록 다음 달 수익률이 낮아진다는 단조로운 패턴은 사라졌다. 4개 실패 상태의 평균은 -5.81%이지만 관측 수가 다섯 번뿐이고, 중앙값은 -0.23%다. 몇 번의 큰 손실이 평균을 움직였을 가능성을 배제할 수 없다.</w:t>
      </w:r>
    </w:p>
    <w:p>
      <w:pPr>
        <w:spacing w:after="160" w:line="320" w:lineRule="auto"/>
      </w:pPr>
      <w:r>
        <w:rPr>
          <w:rFonts w:ascii="Malgun Gothic" w:hAnsi="Malgun Gothic" w:eastAsia="Malgun Gothic"/>
          <w:sz w:val="22"/>
        </w:rPr>
        <w:t>기간을 2014년 전후로 나눠도 결과는 예측 규칙을 지지하지 않았다. 실패 수와 다음 달 수익률의 순위상관은 2000~2013년에 -0.036, 2014~2026년에 -0.037이었다. 두 숫자는 사실상 0에 가깝다. 이전 구현에서 강해 보였던 관계는 시간상 같은 보유기간을 비교했을 때의 동시적 관계였고, 한 달 앞으로 목표값을 밀자 남지 않았다.</w:t>
      </w:r>
    </w:p>
    <w:p>
      <w:pPr>
        <w:spacing w:after="160" w:line="320" w:lineRule="auto"/>
      </w:pPr>
      <w:r>
        <w:rPr>
          <w:rFonts w:ascii="Malgun Gothic" w:hAnsi="Malgun Gothic" w:eastAsia="Malgun Gothic"/>
          <w:sz w:val="22"/>
        </w:rPr>
        <w:t xml:space="preserve">이렇게 쓰면 공동 실패라는 아이디어가 실패한 것처럼 보일 수 있다. 그러나 정확히 실패한 것은 더 좁다. </w:t>
      </w:r>
      <w:r>
        <w:rPr>
          <w:rFonts w:ascii="Malgun Gothic" w:hAnsi="Malgun Gothic" w:eastAsia="Malgun Gothic"/>
          <w:b/>
          <w:sz w:val="22"/>
        </w:rPr>
        <w:t>이 가격 기반 공동 실패 지표가 다음 달 적격 종목군 수익률을 예측한다는 가설</w:t>
      </w:r>
      <w:r>
        <w:rPr>
          <w:rFonts w:ascii="Malgun Gothic" w:hAnsi="Malgun Gothic" w:eastAsia="Malgun Gothic"/>
          <w:sz w:val="22"/>
        </w:rPr>
        <w:t>이다. 이 부정적 결과는 그래프를 예쁘게 만드는 파라미터를 더 찾기보다, 지표가 무엇을 관측했는지 다시 묻게 한다.</w:t>
      </w:r>
    </w:p>
    <w:p>
      <w:pPr>
        <w:pStyle w:val="Heading2"/>
      </w:pPr>
      <w:r>
        <w:t>공동 실패는 여전히 무엇을 기록할 수 있는가</w:t>
      </w:r>
    </w:p>
    <w:p>
      <w:pPr>
        <w:spacing w:after="160" w:line="320" w:lineRule="auto"/>
      </w:pPr>
      <w:r>
        <w:rPr>
          <w:rFonts w:ascii="Malgun Gothic" w:hAnsi="Malgun Gothic" w:eastAsia="Malgun Gothic"/>
          <w:sz w:val="22"/>
        </w:rPr>
        <w:t>공동 실패가 다음 달 수익률을 맞히지 못한다고 해서 쓸모없는 기록은 아니다. 네 신호가 같은 달에 자기 기준보다 크게 부진했다는 사실은, 네 모델이 공유한 데이터와 가정이 동시에 약해진 장면을 표시한다. 이 상태는 포지션을 줄이라는 신호가 아니라, 다음 분석에서 원인을 복원할 달을 고르는 표식이다.</w:t>
      </w:r>
    </w:p>
    <w:p>
      <w:pPr>
        <w:spacing w:after="160" w:line="320" w:lineRule="auto"/>
      </w:pPr>
      <w:r>
        <w:rPr>
          <w:rFonts w:ascii="Malgun Gothic" w:hAnsi="Malgun Gothic" w:eastAsia="Malgun Gothic"/>
          <w:sz w:val="22"/>
        </w:rPr>
        <w:t>예를 들어 공동 실패가 큰 달에 뉴스가 특정 산업에 집중됐는지, 공시가 몰렸는지, 호가 스프레드가 넓어졌는지 확인할 수 있다. 가격 기반 모델만으로는 그 원인이 정보 충격인지, 유동성 고갈인지, 데이터 처리 문제인지 구분할 수 없다. 원인을 모르는 상태에서 ‘세 개 실패면 현금’ 같은 규칙을 만들면, 과거 몇 달을 설명하는 대신 다음 충격에서는 다른 방식으로 무너질 가능성이 크다.</w:t>
      </w:r>
    </w:p>
    <w:p>
      <w:pPr>
        <w:spacing w:after="160" w:line="320" w:lineRule="auto"/>
      </w:pPr>
      <w:r>
        <w:rPr>
          <w:rFonts w:ascii="Malgun Gothic" w:hAnsi="Malgun Gothic" w:eastAsia="Malgun Gothic"/>
          <w:sz w:val="22"/>
        </w:rPr>
        <w:t>이 때문에 4편은 시장 국면을 새로 발견했다는 글이 아니다. 시장 상태를 상승·하락이라는 사후 이름만으로 부르지 않고, 모델 실패의 동시성으로도 기록해 보자는 가설을 만들었다가, 그 가설의 예측 부분이 현재 데이터에서 지지되지 않았음을 남긴 글이다. 결과가 사라졌다는 사실이 연구의 끝이 아니라, 주장할 수 있는 범위를 회복한 지점이다.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남긴 경계</w:t>
              <w:br/>
              <w:br/>
              <w:t>가격 기반 모델의 공동 실패는 그 자체로 다음 달 수익률을 예측하지 않았다. 같은 달에 모델들이 함께 약해졌다는 관측과, 그 관측이 미래를 설명한다는 주장은 구분해야 한다. 현재 지표는 매매 신호가 아니라 원인 분석을 위한 사건 표식으로만 남긴다.</w:t>
            </w:r>
          </w:p>
        </w:tc>
      </w:tr>
    </w:tbl>
    <w:p>
      <w:pPr>
        <w:spacing w:after="0"/>
      </w:pPr>
    </w:p>
    <w:p>
      <w:pPr>
        <w:spacing w:after="160" w:line="320" w:lineRule="auto"/>
      </w:pPr>
      <w:r>
        <w:rPr>
          <w:rFonts w:ascii="Malgun Gothic" w:hAnsi="Malgun Gothic" w:eastAsia="Malgun Gothic"/>
          <w:sz w:val="22"/>
        </w:rPr>
        <w:t>다음 검증에는 다른 생성 과정의 데이터가 필요하다. 뉴스량과 공시 시점, 투자자별 수급, 호가 스프레드를 실패 월과 맞춰야 한다. 그때도 먼저 확인할 것은 수익률이 아니다. 가격 모델이 함께 실패한 날에 외부 정보 환경도 함께 달라졌는지, 그리고 그 변화가 반복되는지다. 2장에 나온 모멘텀과 반전의 엇갈린 결과는 하나의 승자를 고르라는 답이 아니라, 모델이 실패하는 조건을 더 구체적으로 묻는 출발점이었다.</w:t>
      </w:r>
    </w:p>
    <w:p>
      <w:pPr>
        <w:pStyle w:val="Heading2"/>
      </w:pPr>
      <w:r>
        <w:t>사건 기록과 예측 신호를 분리한다</w:t>
      </w:r>
    </w:p>
    <w:p>
      <w:pPr>
        <w:spacing w:after="160" w:line="320" w:lineRule="auto"/>
      </w:pPr>
      <w:r>
        <w:rPr>
          <w:rFonts w:ascii="Malgun Gothic" w:hAnsi="Malgun Gothic" w:eastAsia="Malgun Gothic"/>
          <w:sz w:val="22"/>
        </w:rPr>
        <w:t xml:space="preserve">이번에 수정한 시간 순서는 단순한 기술 문제가 아니다. 연구에서 같은 지표라도 두 역할을 구분해야 한다는 뜻이다. 월 t가 끝난 뒤 공동 실패를 표시하는 일은 </w:t>
      </w:r>
      <w:r>
        <w:rPr>
          <w:rFonts w:ascii="Malgun Gothic" w:hAnsi="Malgun Gothic" w:eastAsia="Malgun Gothic"/>
          <w:b/>
          <w:sz w:val="22"/>
        </w:rPr>
        <w:t>사건 기록</w:t>
      </w:r>
      <w:r>
        <w:rPr>
          <w:rFonts w:ascii="Malgun Gothic" w:hAnsi="Malgun Gothic" w:eastAsia="Malgun Gothic"/>
          <w:sz w:val="22"/>
        </w:rPr>
        <w:t xml:space="preserve">이다. 그 달에 네 가격 모델이 평소보다 약했다는 사실을 남긴다. 반면 그 표시로 월 t+1 수익률을 설명하려는 일은 </w:t>
      </w:r>
      <w:r>
        <w:rPr>
          <w:rFonts w:ascii="Malgun Gothic" w:hAnsi="Malgun Gothic" w:eastAsia="Malgun Gothic"/>
          <w:b/>
          <w:sz w:val="22"/>
        </w:rPr>
        <w:t>예측 검증</w:t>
      </w:r>
      <w:r>
        <w:rPr>
          <w:rFonts w:ascii="Malgun Gothic" w:hAnsi="Malgun Gothic" w:eastAsia="Malgun Gothic"/>
          <w:sz w:val="22"/>
        </w:rPr>
        <w:t>이다. 전자는 현재 데이터로 할 수 있지만, 후자는 이번 표본에서 지지되지 않았다.</w:t>
      </w:r>
    </w:p>
    <w:p>
      <w:pPr>
        <w:spacing w:after="160" w:line="320" w:lineRule="auto"/>
      </w:pPr>
      <w:r>
        <w:rPr>
          <w:rFonts w:ascii="Malgun Gothic" w:hAnsi="Malgun Gothic" w:eastAsia="Malgun Gothic"/>
          <w:sz w:val="22"/>
        </w:rPr>
        <w:t>이 둘을 섞으면 결과를 과대 해석하기 쉽다. 사건 기록에서 눈에 띄는 위기 달을 몇 개 찾은 뒤, 그 지표가 위기를 미리 경고했다고 쓰는 방식이다. 그러나 그 위기 달의 손실을 계산해야만 공동 실패를 알 수 있었다면, 그 지표는 사전 경고가 아니라 사후 진단이다. 사후 진단도 가치가 있다. 다만 운용 규칙과 같은 문장으로 쓰면 안 된다.</w:t>
      </w:r>
    </w:p>
    <w:p>
      <w:pPr>
        <w:spacing w:after="160" w:line="320" w:lineRule="auto"/>
      </w:pPr>
      <w:r>
        <w:rPr>
          <w:rFonts w:ascii="Malgun Gothic" w:hAnsi="Malgun Gothic" w:eastAsia="Malgun Gothic"/>
          <w:sz w:val="22"/>
        </w:rPr>
        <w:t>공동 실패 지표가 사건 기록으로 유용하려면 다음 단계의 질문도 바뀐다. ‘실패가 세 개였는가’가 아니라 ‘실패가 세 개였던 달에는 어떤 신호가 먼저 무너졌는가’, ‘그 달의 거래대금·뉴스·스프레드는 평소와 무엇이 달랐는가’를 봐야 한다. 가격 모델의 실패를 외부 데이터의 변화와 맞춰 보는 작업은 예측력을 꾸미기 위한 보조변수가 아니라, 실패의 원인을 좁히는 작업이다.</w:t>
      </w:r>
    </w:p>
    <w:p>
      <w:pPr>
        <w:pStyle w:val="Heading2"/>
      </w:pPr>
      <w:r>
        <w:t>다음 검증의 실패 조건을 먼저 적어 둔다</w:t>
      </w:r>
    </w:p>
    <w:p>
      <w:pPr>
        <w:spacing w:after="160" w:line="320" w:lineRule="auto"/>
      </w:pPr>
      <w:r>
        <w:rPr>
          <w:rFonts w:ascii="Malgun Gothic" w:hAnsi="Malgun Gothic" w:eastAsia="Malgun Gothic"/>
          <w:sz w:val="22"/>
        </w:rPr>
        <w:t>외부 데이터를 붙인 뒤에도 공동 실패가 뉴스량 증가나 호가 악화와 함께 나타나지 않는다면, 이 지표는 공통 시장 충격이 아니라 가격 신호 구성의 기계적 산물일 가능성이 커진다. 반대로 특정 사건에서만 관계가 나온다면, ‘시장 국면’이라는 넓은 이름 대신 그 사건의 유형을 더 좁게 정의해야 한다. 어느 쪽이든 다음 실험의 목표는 공동 실패를 살리는 일이 아니라, 설명이 언제 무너지는지 확인하는 일이다.</w:t>
      </w:r>
    </w:p>
    <w:p>
      <w:pPr>
        <w:spacing w:after="160" w:line="320" w:lineRule="auto"/>
      </w:pPr>
      <w:r>
        <w:rPr>
          <w:rFonts w:ascii="Malgun Gothic" w:hAnsi="Malgun Gothic" w:eastAsia="Malgun Gothic"/>
          <w:sz w:val="22"/>
        </w:rPr>
        <w:t>또한 신호 수를 네 개에서 더 늘린다고 관측 수가 저절로 늘지 않는다. 극단 상태는 오히려 더 희소해지고, 임계값을 조금 바꿔도 가장 예쁜 구간을 선택할 유인이 커진다. 그래서 후속 검증에서는 실패 기준을 여러 개 시험한 뒤 가장 좋은 하나만 남기는 방식 대신, 사전에 정한 기준을 유지하고 다른 시장·다른 기간에서 재현되는지부터 보려 한다.</w:t>
      </w:r>
    </w:p>
    <w:p>
      <w:pPr>
        <w:spacing w:after="160" w:line="320" w:lineRule="auto"/>
      </w:pPr>
      <w:r>
        <w:rPr>
          <w:rFonts w:ascii="Malgun Gothic" w:hAnsi="Malgun Gothic" w:eastAsia="Malgun Gothic"/>
          <w:sz w:val="22"/>
        </w:rPr>
        <w:t>4편의 결론은 단순하다. 공동 실패는 지금은 매매 신호가 아니다. 하지만 가격 기반 전략을 여러 개 운영할 때, 각 전략의 수익률만 따로 보는 대신 함께 실패한 월을 별도 장부에 남기는 일은 가능하다. 그 장부는 수익률을 예측하지 못하더라도, 어떤 가정들이 같은 달에 취약했는지 다음 연구의 질문을 좁혀 준다.</w:t>
      </w:r>
    </w:p>
    <w:p>
      <w:pPr>
        <w:pStyle w:val="Heading2"/>
      </w:pPr>
      <w:r>
        <w:t>GitHub에서 확인할 수 있는 것</w:t>
      </w:r>
    </w:p>
    <w:p>
      <w:pPr>
        <w:pStyle w:val="ListBullet"/>
        <w:spacing w:after="80"/>
      </w:pPr>
      <w:r>
        <w:rPr>
          <w:rFonts w:ascii="Malgun Gothic" w:hAnsi="Malgun Gothic" w:eastAsia="Malgun Gothic"/>
          <w:color w:val="373737"/>
          <w:sz w:val="19"/>
        </w:rPr>
        <w:t>시간 순서를 바로잡은 공동 실패 선행 검증 코드: https://github.com/Rowoon-Lee5/metric_studio_by_moon/blob/main/experiments/model_failure_lead_audit.py</w:t>
      </w:r>
    </w:p>
    <w:p>
      <w:pPr>
        <w:pStyle w:val="ListBullet"/>
        <w:spacing w:after="80"/>
      </w:pPr>
      <w:r>
        <w:rPr>
          <w:rFonts w:ascii="Malgun Gothic" w:hAnsi="Malgun Gothic" w:eastAsia="Malgun Gothic"/>
          <w:color w:val="373737"/>
          <w:sz w:val="19"/>
        </w:rPr>
        <w:t>실패 수별 다음 달 적격 종목군 수익률: https://github.com/Rowoon-Lee5/metric_studio_by_moon/blob/main/results/model_failure_lead_summary.csv</w:t>
      </w:r>
    </w:p>
    <w:p>
      <w:pPr>
        <w:pStyle w:val="ListBullet"/>
        <w:spacing w:after="80"/>
      </w:pPr>
      <w:r>
        <w:rPr>
          <w:rFonts w:ascii="Malgun Gothic" w:hAnsi="Malgun Gothic" w:eastAsia="Malgun Gothic"/>
          <w:color w:val="373737"/>
          <w:sz w:val="19"/>
        </w:rPr>
        <w:t>기간을 나눈 결과: https://github.com/Rowoon-Lee5/metric_studio_by_moon/blob/main/results/model_failure_lead_time_split.csv</w:t>
      </w:r>
    </w:p>
    <w:p>
      <w:pPr>
        <w:spacing w:after="160" w:line="320" w:lineRule="auto"/>
      </w:pPr>
      <w:r>
        <w:rPr>
          <w:rFonts w:ascii="Malgun Gothic" w:hAnsi="Malgun Gothic" w:eastAsia="Malgun Gothic"/>
          <w:sz w:val="22"/>
        </w:rPr>
        <w:t>이 글은 투자 권유가 아니다. 그럴듯한 동시적 관계를 예측력으로 오독하지 않기 위한 연구 기록이다.</w:t>
      </w:r>
    </w:p>
    <w:p>
      <w:pPr>
        <w:spacing w:after="160" w:line="320" w:lineRule="auto"/>
      </w:pPr>
      <w:r>
        <w:rPr>
          <w:rFonts w:ascii="Malgun Gothic" w:hAnsi="Malgun Gothic" w:eastAsia="Malgun Gothic"/>
          <w:sz w:val="22"/>
        </w:rPr>
        <w:t>이 글은 투자 권유가 아니다. 그럴듯한 동시적 관계를 예측력으로 오독하지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