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이 모양은 ‘유동성은 많을수록 좋다’도, ‘유동성 80%가 항상 최적이다’도 아닌 질문을 만든다. 수익률 곡선이 평평해지는 지점에서 늘어난 종목 수가 운용 가능성의 감소를 보상하는가.</w:t>
      </w:r>
    </w:p>
    <w:p>
      <w:pPr>
        <w:spacing w:after="160" w:line="320" w:lineRule="auto"/>
      </w:pPr>
      <w:r>
        <w:rPr>
          <w:rFonts w:ascii="Malgun Gothic" w:hAnsi="Malgun Gothic" w:eastAsia="Malgun Gothic"/>
          <w:sz w:val="22"/>
        </w:rPr>
        <w:t>내 실험의 수익률을 이 그림의 66.16%와 직접 비교하지는 않았다. 표본 기간, 신호의 정의, 종목 수, 리밸런싱, 비용 모형이 다르면 같은 ‘유동성 상위 80%’도 같은 포트폴리오가 아니다. 책의 숫자를 재현하지 못했다고 반박할 수도 없고, 비슷한 모양이 나왔다고 검증됐다고 말할 수도 없다. 이 글의 목적은 책의 한 숫자를 복사하는 일이 아니라, 그 숫자가 성립하려면 무엇이 고정돼 있어야 하는지 분해하는 일이다.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6" name="Picture 6"/>
            <wp:cNvGraphicFramePr>
              <a:graphicFrameLocks noChangeAspect="1"/>
            </wp:cNvGraphicFramePr>
            <a:graphic>
              <a:graphicData uri="http://schemas.openxmlformats.org/drawingml/2006/picture">
                <pic:pic>
                  <pic:nvPicPr>
                    <pic:cNvPr id="0" name="03_observed_news_attention.png"/>
                    <pic:cNvPicPr/>
                  </pic:nvPicPr>
                  <pic:blipFill>
                    <a:blip r:embed="rId14"/>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4_model_consensus_cumulative.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8" name="Picture 8"/>
            <wp:cNvGraphicFramePr>
              <a:graphicFrameLocks noChangeAspect="1"/>
            </wp:cNvGraphicFramePr>
            <a:graphic>
              <a:graphicData uri="http://schemas.openxmlformats.org/drawingml/2006/picture">
                <pic:pic>
                  <pic:nvPicPr>
                    <pic:cNvPr id="0" name="05_model_failure_coherence.png"/>
                    <pic:cNvPicPr/>
                  </pic:nvPicPr>
                  <pic:blipFill>
                    <a:blip r:embed="rId16"/>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