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2장 「시장관찰」 1. 알파는 단일 최적값인가, 안정적인 구간인가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유동성 유니버스를 넓힐수록 수익률은 상위 70~80% 구간까지 크게 높아지지만, 그 이후에는 기울기가 완만해진다. 더 낮은 유동성 종목을 편입하면서 얻는 이론 수익률의 추가분이 이전보다 작아진다는 뜻이다.</w:t>
      </w:r>
    </w:p>
    <w:p>
      <w:pPr>
        <w:spacing w:after="160" w:line="320" w:lineRule="auto"/>
      </w:pPr>
      <w:r>
        <w:rPr>
          <w:rFonts w:ascii="Malgun Gothic" w:hAnsi="Malgun Gothic" w:eastAsia="Malgun Gothic"/>
          <w:sz w:val="22"/>
        </w:rPr>
        <w:t>그래프만으로 슬리피지를 측정할 수는 없다. 이 그림에는 실제 주문이 어느 가격에서 얼마나 체결됐는지에 관한 정보가 없기 때문이다. 바로 이 지점에서 수익률 곡선만 읽는 방식은 멈춰야 한다. 유니버스를 넓힐수록 새로 들어오는 종목은 평균 거래대금이 낮고, 같은 금액을 주문했을 때 시장에 남기는 흔적은 더 커질 가능성이 있다. 이론 수익률이 조금 높아졌다는 사실만으로 그 종목들이 운용 가능한 후보가 되는 것은 아니다.</w:t>
      </w:r>
    </w:p>
    <w:p>
      <w:pPr>
        <w:spacing w:after="160" w:line="320" w:lineRule="auto"/>
      </w:pPr>
      <w:r>
        <w:rPr>
          <w:rFonts w:ascii="Malgun Gothic" w:hAnsi="Malgun Gothic" w:eastAsia="Malgun Gothic"/>
          <w:sz w:val="22"/>
        </w:rPr>
        <w:t>그래서 질문은 다음으로 바뀐다. 새로 편입된 저유동성 종목이 만드는 추가 수익은, 실제 집행에서 늘어나는 슬리피지와 미체결 위험을 감당할 만큼 큰가. 책의 그림 18은 이 질문의 답을 제시하지 않는다. 대신 내가 뒤의 실험을 설계하게 만든 출발점이다. 이후에는 유동성 기준만 바꾸지 않고 운용 규모, 종목당 주문 참여율, 시장충격 비용을 함께 움직였다. 같은 유동성 상위 80%라도 1억 원을 운용할 때와 100억 원을 운용할 때, 주문금액의 2.5%와 10%를 거래대금 안에서 소화할 수 있다고 가정할 때 결과가 어떻게 달라지는지 확인하기 위해서다.</w:t>
      </w:r>
    </w:p>
    <w:p>
      <w:pPr>
        <w:spacing w:after="160" w:line="320" w:lineRule="auto"/>
      </w:pPr>
      <w:r>
        <w:rPr>
          <w:rFonts w:ascii="Malgun Gothic" w:hAnsi="Malgun Gothic" w:eastAsia="Malgun Gothic"/>
          <w:sz w:val="22"/>
        </w:rPr>
        <w:t>이 질문 때문에 나는 책의 66.16%를 내 실험의 목표값으로 두지 않았다. 표본 기간, 신호 정의, 보유 종목 수, 리밸런싱 주기, 비용 모형이 달라지면 같은 ‘유동성 상위 80%’라도 전혀 다른 포트폴리오가 된다. 책의 수익률을 재현하지 못했다고 책을 반박할 수는 없고, 비슷한 곡선이 나왔다고 검증됐다고 말할 수도 없다. 내가 확인하려 한 것은 66.16%라는 숫자가 아니라, 그 숫자가 성립하려면 어떤 조건이 고정돼 있어야 하는지였다. 그 조건을 하나씩 바꿨을 때 성과가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Malgun Gothic" w:hAnsi="Malgun Gothic" w:eastAsia="Malgun Gothic"/>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Malgun Gothic" w:hAnsi="Malgun Gothic" w:eastAsia="Malgun Gothic"/>
          <w:sz w:val="22"/>
        </w:rPr>
        <w:t>이번 실험에는 네 가지 신호를 넣었다. 1개월 반전은 직전 한 달 수익률이 낮았던 종목을 고르고, 6개월 모멘텀은 최근 여섯 달 수익률이 높았던 종목을 고른다. 저변동성은 최근 12개월 월 수익률의 변동성이 낮은 종목을, 소형주는 시가총액이 작은 종목을 선택한다. 같은 월말 데이터에서 계산되지만, 각 신호가 시장을 읽는 방식은 다르다. 반전은 단기 가격 조정이 되돌아갈 가능성을, 모멘텀은 가격 추세의 지속을, 저변동성은 위험 대비 보상을, 소형주는 규모에 따른 보상 차이를 전제로 둔다.</w:t>
      </w:r>
    </w:p>
    <w:p>
      <w:pPr>
        <w:spacing w:after="160" w:line="320" w:lineRule="auto"/>
      </w:pPr>
      <w:r>
        <w:rPr>
          <w:rFonts w:ascii="Malgun Gothic" w:hAnsi="Malgun Gothic" w:eastAsia="Malgun Gothic"/>
          <w:sz w:val="22"/>
        </w:rPr>
        <w:t>이 네 가지를 넣은 이유는 좋은 팩터 목록을 만들기 위해서가 아니다. 유동성 기준을 넓혔을 때 모든 신호가 같은 방향으로 좋아지는지, 아니면 특정한 신호만 저유동성 종목의 수익률에 의존하는지를 구분하기 위해서다. 예를 들어 유동성 범위를 넓힌 뒤 저변동성만 남고 반전과 모멘텀이 사라진다면, ‘유동성이 넓을수록 좋다’는 결론은 성립하지 않는다. 더 정확한 결론은 저변동성이라는 특정한 정렬 방식이 넓은 유니버스에서 남았다는 것이다.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제외하면, 나는 처음부터 성과가 좋았던 신호만 남긴 채 유동성의 효과를 말하게 된다. 유동성 기준의 변화가 신호와 무관하게 작동한다고 주장하려면, 성과가 약했던 신호도 같은 조건에서 함께 봐야 한다.</w:t>
      </w:r>
    </w:p>
    <w:p>
      <w:pPr>
        <w:spacing w:after="160" w:line="320" w:lineRule="auto"/>
      </w:pPr>
      <w:r>
        <w:rPr>
          <w:rFonts w:ascii="Malgun Gothic" w:hAnsi="Malgun Gothic" w:eastAsia="Malgun Gothic"/>
          <w:sz w:val="22"/>
        </w:rPr>
        <w:t>그래서 모멘텀을 다시 넣었다. 모멘텀이 유효하다는 것을 입증하기 위해서가 아니라, 유동성 범위를 넓힐 때도 끝까지 남지 못하는 신호가 실제로 있는지, 그리고 그 실패가 비용·운용 규모·보유 종목 수를 바꾼 뒤에도 같은 위치에서 나타나는지 확인하기 위해서다. 신호별 결과가 다르다면, 유동성은 전략의 공통된 배경조건이 아니라 각 신호의 수익 구조와 부딪히는 제약이 된다.</w:t>
      </w:r>
    </w:p>
    <w:p>
      <w:pPr>
        <w:spacing w:after="160" w:line="320" w:lineRule="auto"/>
      </w:pPr>
      <w:r>
        <w:rPr>
          <w:rFonts w:ascii="Malgun Gothic" w:hAnsi="Malgun Gothic" w:eastAsia="Malgun Gothic"/>
          <w:sz w:val="22"/>
        </w:rPr>
        <w:t>여기서도 한계는 남는다. 네 신호는 모두 가격·거래량·시가총액 패널에서 출발한다. 따라서 네 결과가 다르다고 해서 네 개의 독립적인 경제적 원인을 확인한 것은 아니다. 이번 비교가 말해 주는 것은 서로 다른 규칙이 유동성 제약에 얼마나 다르게 반응했는지이지, 각 규칙의 경제적 원인을 증명했다는 뜻은 아니다.</w:t>
      </w:r>
    </w:p>
    <w:p>
      <w:pPr>
        <w:pStyle w:val="Heading3"/>
      </w:pPr>
      <w:r>
        <w:t>3. 선택 시점과 평가 시점을 분리하기</w:t>
      </w:r>
    </w:p>
    <w:p>
      <w:pPr>
        <w:spacing w:after="160" w:line="320" w:lineRule="auto"/>
      </w:pPr>
      <w:r>
        <w:rPr>
          <w:rFonts w:ascii="Malgun Gothic" w:hAnsi="Malgun Gothic" w:eastAsia="Malgun Gothic"/>
          <w:sz w:val="22"/>
        </w:rPr>
        <w:t>백테스트에서 가장 먼저 지켜야 할 순서는 단순하다. 종목을 고를 때는 그 시점에 알 수 있었던 정보만 쓰고, 성과는 선택이 끝난 뒤의 가격으로 평가해야 한다. 이번 실험에서도 월말에 종목을 고를 때는 해당 형성 월 종가까지의 수정주가·거래량·시가총액만 사용했다. 선택된 종목의 수익률은 그다음 달부터 붙였다. 미래 수익률을 신호 계산에 섞지 않기 위한 최소한의 시간 분리다.</w:t>
      </w:r>
    </w:p>
    <w:p>
      <w:pPr>
        <w:spacing w:after="160" w:line="320" w:lineRule="auto"/>
      </w:pPr>
      <w:r>
        <w:rPr>
          <w:rFonts w:ascii="Malgun Gothic" w:hAnsi="Malgun Gothic" w:eastAsia="Malgun Gothic"/>
          <w:sz w:val="22"/>
        </w:rPr>
        <w:t>하지만 이 분리만으로 미래정보 문제가 사라지는 것은 아니다. 월말 데이터에서 과거와 미래를 나눴다고 해도, 원천 가격 자체가 나중에 어떻게 수정됐는지를 확인하지 않으면 안 된다. 수정주가에는 액면분할, 배당, 감자처럼 과거 가격을 다시 조정하는 사건이 들어갈 수 있다. 상장폐지나 거래정지처럼 다음 가격이 정상적으로 이어지지 않는 사건도 있다. 코드에서 다음 달 가격을 붙였다는 사실은, 그 가격이 당시 실제로 거래 가능한 청산 가격이었는지까지 보장하지 않는다.</w:t>
      </w:r>
    </w:p>
    <w:p>
      <w:pPr>
        <w:spacing w:after="160" w:line="320" w:lineRule="auto"/>
      </w:pPr>
      <w:r>
        <w:rPr>
          <w:rFonts w:ascii="Malgun Gothic" w:hAnsi="Malgun Gothic" w:eastAsia="Malgun Gothic"/>
          <w:sz w:val="22"/>
        </w:rPr>
        <w:t>그래서 형성 시점 이후 다시 들어온 종목과 다음 가격이 비어 있는 보유 종목을 따로 감사했다. 재진입 종목은 상장폐지·거래중단·재상장 같은 사건 때문에 하나의 연속된 가격 시계열로 취급하기 어려울 수 있다. 다음 가격이 없는 종목은 수익률을 0으로 둘지, 마지막 관측 가격에서 청산한 것으로 볼지, 손실로 처리할지에 따라 성과가 달라진다. 이 선택은 결측치를 처리하는 기술적 문제가 아니라, 실제로 어떤 거래가 가능했다고 가정하는지에 관한 문제다.</w:t>
      </w:r>
    </w:p>
    <w:p>
      <w:pPr>
        <w:spacing w:after="160" w:line="320" w:lineRule="auto"/>
      </w:pPr>
      <w:r>
        <w:rPr>
          <w:rFonts w:ascii="Malgun Gothic" w:hAnsi="Malgun Gothic" w:eastAsia="Malgun Gothic"/>
          <w:sz w:val="22"/>
        </w:rPr>
        <w:t>수정주가도 양면적이다. 배당과 액면분할을 반영해 장기 보유 성과를 비교하기 좋지만, 과거 특정 시점의 주문 가격을 그대로 복원하는 데이터는 아니다. 따라서 이번 실험의 수정주가 수익률은 총수익률에 가까운 성과 비교용 지표로 사용했고, 실제 체결 가격은 비용·체결 가능 비중 모형에서 별도로 보수적으로 깎았다. 둘을 하나의 숫자로 합치지 않은 이유가 여기에 있다.</w:t>
      </w:r>
    </w:p>
    <w:p>
      <w:pPr>
        <w:spacing w:after="160" w:line="320" w:lineRule="auto"/>
      </w:pPr>
      <w:r>
        <w:rPr>
          <w:rFonts w:ascii="Malgun Gothic" w:hAnsi="Malgun Gothic" w:eastAsia="Malgun Gothic"/>
          <w:sz w:val="22"/>
        </w:rPr>
        <w:t>결국 ‘룩어헤드를 막았다’는 말은 코드 한 줄의 문제가 아니다. 신호가 형성 시점 이전 정보만 사용했는지, 원천 가격이 사후 사건을 어떻게 반영하는지, 거래중단 종목의 다음 가격을 어떻게 처리했는지, 그리고 그 처리 규칙이 결과를 바꾸는지까지 확인해야 한다. 시간 분리는 백테스트의 출발점일 뿐이고, 그 뒤에는 데이터가 가진 시간의 흔적을 감사하는 작업이 남는다.</w:t>
      </w:r>
    </w:p>
    <w:p>
      <w:pPr>
        <w:pStyle w:val="Heading3"/>
      </w:pPr>
      <w:r>
        <w:t>4. 바꿔 본 조건</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pStyle w:val="Heading3"/>
      </w:pPr>
      <w:r>
        <w:t>비용은 어떻게 계산했는가</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pStyle w:val="Heading3"/>
      </w:pPr>
      <w:r>
        <w:t>전량 체결을 가정하지 않기</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pStyle w:val="Heading3"/>
      </w:pPr>
      <w:r>
        <w:t>참여율 5%는 결론이 아니라 가정이다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2" name="Picture 2"/>
            <wp:cNvGraphicFramePr>
              <a:graphicFrameLocks noChangeAspect="1"/>
            </wp:cNvGraphicFramePr>
            <a:graphic>
              <a:graphicData uri="http://schemas.openxmlformats.org/drawingml/2006/picture">
                <pic:pic>
                  <pic:nvPicPr>
                    <pic:cNvPr id="0" name="11_participation_sensitivity.png"/>
                    <pic:cNvPicPr/>
                  </pic:nvPicPr>
                  <pic:blipFill>
                    <a:blip r:embed="rId10"/>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pStyle w:val="Heading3"/>
      </w:pPr>
      <w:r>
        <w:t>무엇을 안정적인 조합으로 볼 것인가</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pStyle w:val="Heading3"/>
      </w:pPr>
      <w:r>
        <w:t>단일 최적값과 안정적인 구간</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416427"/>
            <wp:docPr id="3" name="Picture 3"/>
            <wp:cNvGraphicFramePr>
              <a:graphicFrameLocks noChangeAspect="1"/>
            </wp:cNvGraphicFramePr>
            <a:graphic>
              <a:graphicData uri="http://schemas.openxmlformats.org/drawingml/2006/picture">
                <pic:pic>
                  <pic:nvPicPr>
                    <pic:cNvPr id="0" name="01_robustness_map.png"/>
                    <pic:cNvPicPr/>
                  </pic:nvPicPr>
                  <pic:blipFill>
                    <a:blip r:embed="rId11"/>
                    <a:stretch>
                      <a:fillRect/>
                    </a:stretch>
                  </pic:blipFill>
                  <pic:spPr>
                    <a:xfrm>
                      <a:off x="0" y="0"/>
                      <a:ext cx="5577840" cy="3416427"/>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