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30_537809076">
        <w:r>
          <w:rPr>
            <w:rStyle w:val="Style"/>
          </w:rPr>
          <w:t>Bibliography</w:t>
          <w:tab/>
          <w:t>3</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form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1" w:name="__RefHeading___Toc809_1943657966"/>
      <w:bookmarkEnd w:id="21"/>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2" w:name="__RefHeading___Toc130_537809076"/>
      <w:bookmarkEnd w:id="22"/>
      <w:r>
        <w:rPr/>
        <w:t>Bibliography</w:t>
      </w:r>
    </w:p>
    <w:p>
      <w:pPr>
        <w:pStyle w:val="Bibliography1"/>
        <w:rPr/>
      </w:pPr>
      <w:bookmarkStart w:id="23" w:name="ZOTERO_BREF_9tYutxGThVON"/>
      <w:bookmarkStart w:id="24" w:name="__UnoMark__101_537809076"/>
      <w:bookmarkEnd w:id="24"/>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5" w:name="__UnoMark__102_537809076"/>
      <w:bookmarkEnd w:id="23"/>
      <w:bookmarkEnd w:id="25"/>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6" w:name="__RefHeading___Toc216_241067100"/>
    <w:bookmarkEnd w:id="26"/>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LibreOffice/5.1.6.2$Linux_X86_64 LibreOffice_project/10m0$Build-2</Application>
  <Pages>4</Pages>
  <Words>752</Words>
  <Characters>4242</Characters>
  <CharactersWithSpaces>4983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2017-07-27T12:34:07Z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