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action or using the REPL in SBT with the console action dispose the code to use the same JVM as SBT (SBT Documentation 2017). There are some situations though, when running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10</Pages>
  <Words>4150</Words>
  <Characters>21683</Characters>
  <CharactersWithSpaces>25817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2017-10-06T12:55:51Z</dcterms:modified>
  <cp:revision>5</cp:revision>
  <dc:subject/>
  <dc:title/>
</cp:coreProperties>
</file>