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Calibri" w:cs="Calibri" w:eastAsia="Calibri" w:hAnsi="Calibri"/>
          <w:b w:val="1"/>
          <w:i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Pick a dataset of your choice from seaborn’s built-in list (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6"/>
          <w:szCs w:val="26"/>
          <w:rtl w:val="0"/>
        </w:rPr>
        <w:t xml:space="preserve">seaborn.load_dataset)</w:t>
      </w:r>
    </w:p>
    <w:p w:rsidR="00000000" w:rsidDel="00000000" w:rsidP="00000000" w:rsidRDefault="00000000" w:rsidRPr="00000000" w14:paraId="00000002">
      <w:pPr>
        <w:spacing w:before="200" w:line="36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Perform the following: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Initial scoping of data with domain analysis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Descriptive statistics using pandas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Identify the nature of variables in the data. For eg. is the numerical feature continuous or discrete.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Choose the appropriate plots to perform Exploratory Data Analysis (Begin by asking questions based on the initial insights and the domain understanding).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Tip: Repeat the above with a different dataset to enhance your learning.</w:t>
      </w:r>
    </w:p>
    <w:p w:rsidR="00000000" w:rsidDel="00000000" w:rsidP="00000000" w:rsidRDefault="00000000" w:rsidRPr="00000000" w14:paraId="0000000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FtKKZlucsNitwtgqyL36nfiFsQ==">CgMxLjA4AHIhMXMzekhIWG03a3RuTHhIUWlMTW1tN2RSQ0E0Um42MkR5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