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39.png" ContentType="image/png"/>
  <Override PartName="/word/media/rId42.png" ContentType="image/png"/>
  <Override PartName="/word/media/rId45.png" ContentType="image/png"/>
  <Override PartName="/word/media/rId52.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Take-home</w:t>
      </w:r>
      <w:r>
        <w:t xml:space="preserve"> </w:t>
      </w:r>
      <w:r>
        <w:t xml:space="preserve">Exercise</w:t>
      </w:r>
      <w:r>
        <w:t xml:space="preserve"> </w:t>
      </w:r>
      <w:r>
        <w:t xml:space="preserve">01</w:t>
      </w:r>
    </w:p>
    <w:p>
      <w:pPr>
        <w:pStyle w:val="Author"/>
      </w:pPr>
      <w:r>
        <w:t xml:space="preserve">Yang</w:t>
      </w:r>
      <w:r>
        <w:t xml:space="preserve"> </w:t>
      </w:r>
      <w:r>
        <w:t xml:space="preserve">Lu</w:t>
      </w:r>
    </w:p>
    <w:p>
      <w:pPr>
        <w:pStyle w:val="Date"/>
      </w:pPr>
      <w:r>
        <w:t xml:space="preserve">2025-05-03</w:t>
      </w:r>
    </w:p>
    <w:bookmarkStart w:id="20" w:name="overview"/>
    <w:p>
      <w:pPr>
        <w:pStyle w:val="Heading2"/>
      </w:pPr>
      <w:r>
        <w:t xml:space="preserve">Overview</w:t>
      </w:r>
    </w:p>
    <w:p>
      <w:r>
        <w:pict>
          <v:rect style="width:0;height:1.5pt" o:hralign="center" o:hrstd="t" o:hr="t"/>
        </w:pict>
      </w:r>
    </w:p>
    <w:bookmarkEnd w:id="20"/>
    <w:bookmarkStart w:id="21" w:name="setting-the-scene"/>
    <w:p>
      <w:pPr>
        <w:pStyle w:val="Heading2"/>
      </w:pPr>
      <w:r>
        <w:rPr>
          <w:b/>
          <w:bCs/>
        </w:rPr>
        <w:t xml:space="preserve">Setting the scene</w:t>
      </w:r>
    </w:p>
    <w:p>
      <w:pPr>
        <w:pStyle w:val="FirstParagraph"/>
      </w:pPr>
      <w:r>
        <w:t xml:space="preserve">A local online media company that publishes daily content on digital platforms is planning to release an article on </w:t>
      </w:r>
      <w:r>
        <w:rPr>
          <w:b/>
          <w:bCs/>
        </w:rPr>
        <w:t xml:space="preserve">demographic structures and distribution of Singapore in 2024</w:t>
      </w:r>
      <w:r>
        <w:t xml:space="preserve">.</w:t>
      </w:r>
    </w:p>
    <w:bookmarkEnd w:id="21"/>
    <w:bookmarkStart w:id="26" w:name="about-data"/>
    <w:p>
      <w:pPr>
        <w:pStyle w:val="Heading2"/>
      </w:pPr>
      <w:r>
        <w:rPr>
          <w:b/>
          <w:bCs/>
        </w:rPr>
        <w:t xml:space="preserve">About Data</w:t>
      </w:r>
    </w:p>
    <w:p>
      <w:pPr>
        <w:pStyle w:val="FirstParagraph"/>
      </w:pPr>
      <w:r>
        <w:t xml:space="preserve">I will use the data for this task from the</w:t>
      </w:r>
      <w:r>
        <w:t xml:space="preserve"> </w:t>
      </w:r>
      <w:hyperlink r:id="rId22">
        <w:r>
          <w:rPr>
            <w:rStyle w:val="Hyperlink"/>
          </w:rPr>
          <w:t xml:space="preserve">Singapore Residents by Planning Area/Subzone, Single Year of Age and Sex, June 2024’ dataset, published by the Department of Statistics, Singapore (DOS)</w:t>
        </w:r>
      </w:hyperlink>
    </w:p>
    <w:p>
      <w:pPr>
        <w:pStyle w:val="BodyText"/>
      </w:pPr>
      <w:r>
        <w:drawing>
          <wp:inline>
            <wp:extent cx="5334000" cy="4083745"/>
            <wp:effectExtent b="0" l="0" r="0" t="0"/>
            <wp:docPr descr="" title="" id="24" name="Picture"/>
            <a:graphic>
              <a:graphicData uri="http://schemas.openxmlformats.org/drawingml/2006/picture">
                <pic:pic>
                  <pic:nvPicPr>
                    <pic:cNvPr descr="images/clipboard-2786007129.png" id="25" name="Picture"/>
                    <pic:cNvPicPr>
                      <a:picLocks noChangeArrowheads="1" noChangeAspect="1"/>
                    </pic:cNvPicPr>
                  </pic:nvPicPr>
                  <pic:blipFill>
                    <a:blip r:embed="rId23"/>
                    <a:stretch>
                      <a:fillRect/>
                    </a:stretch>
                  </pic:blipFill>
                  <pic:spPr bwMode="auto">
                    <a:xfrm>
                      <a:off x="0" y="0"/>
                      <a:ext cx="5334000" cy="4083745"/>
                    </a:xfrm>
                    <a:prstGeom prst="rect">
                      <a:avLst/>
                    </a:prstGeom>
                    <a:noFill/>
                    <a:ln w="9525">
                      <a:noFill/>
                      <a:headEnd/>
                      <a:tailEnd/>
                    </a:ln>
                  </pic:spPr>
                </pic:pic>
              </a:graphicData>
            </a:graphic>
          </wp:inline>
        </w:drawing>
      </w:r>
    </w:p>
    <w:bookmarkEnd w:id="26"/>
    <w:bookmarkStart w:id="27" w:name="my-task"/>
    <w:p>
      <w:pPr>
        <w:pStyle w:val="Heading2"/>
      </w:pPr>
      <w:r>
        <w:rPr>
          <w:b/>
          <w:bCs/>
        </w:rPr>
        <w:t xml:space="preserve">My Task</w:t>
      </w:r>
    </w:p>
    <w:p>
      <w:pPr>
        <w:pStyle w:val="FirstParagraph"/>
      </w:pPr>
      <w:r>
        <w:t xml:space="preserve">As the graphical editor of the media company, my task is to design and prepare up to</w:t>
      </w:r>
      <w:r>
        <w:t xml:space="preserve"> </w:t>
      </w:r>
      <w:r>
        <w:rPr>
          <w:b/>
          <w:bCs/>
        </w:rPr>
        <w:t xml:space="preserve">three</w:t>
      </w:r>
      <w:r>
        <w:t xml:space="preserve"> </w:t>
      </w:r>
      <w:r>
        <w:t xml:space="preserve">data visualisations to support an upcoming article on Singapore’s demographic structure and distribution in 2024.</w:t>
      </w:r>
    </w:p>
    <w:bookmarkEnd w:id="27"/>
    <w:bookmarkStart w:id="32" w:name="getting-started"/>
    <w:p>
      <w:pPr>
        <w:pStyle w:val="Heading2"/>
      </w:pPr>
      <w:r>
        <w:t xml:space="preserve">Getting started</w:t>
      </w:r>
    </w:p>
    <w:p>
      <w:r>
        <w:pict>
          <v:rect style="width:0;height:1.5pt" o:hralign="center" o:hrstd="t" o:hr="t"/>
        </w:pict>
      </w:r>
    </w:p>
    <w:bookmarkStart w:id="28" w:name="load-packages"/>
    <w:p>
      <w:pPr>
        <w:pStyle w:val="Heading3"/>
      </w:pPr>
      <w:r>
        <w:t xml:space="preserve">Load packages</w:t>
      </w:r>
    </w:p>
    <w:p>
      <w:pPr>
        <w:pStyle w:val="FirstParagraph"/>
      </w:pPr>
      <w:r>
        <w:t xml:space="preserve">Firstly, write below code chunk to install and check the R packages installed.</w:t>
      </w:r>
    </w:p>
    <w:p>
      <w:pPr>
        <w:numPr>
          <w:ilvl w:val="0"/>
          <w:numId w:val="1001"/>
        </w:numPr>
      </w:pPr>
      <w:r>
        <w:rPr>
          <w:rStyle w:val="VerbatimChar"/>
          <w:b/>
          <w:bCs/>
        </w:rPr>
        <w:t xml:space="preserve">tidyverse</w:t>
      </w:r>
      <w:r>
        <w:t xml:space="preserve">— Core data wrangling &amp; plotting (</w:t>
      </w:r>
      <w:r>
        <w:rPr>
          <w:rStyle w:val="VerbatimChar"/>
        </w:rPr>
        <w:t xml:space="preserve">readr</w:t>
      </w:r>
      <w:r>
        <w:t xml:space="preserve">,</w:t>
      </w:r>
      <w:r>
        <w:t xml:space="preserve"> </w:t>
      </w:r>
      <w:r>
        <w:rPr>
          <w:rStyle w:val="VerbatimChar"/>
        </w:rPr>
        <w:t xml:space="preserve">dplyr</w:t>
      </w:r>
      <w:r>
        <w:t xml:space="preserve">,</w:t>
      </w:r>
      <w:r>
        <w:t xml:space="preserve"> </w:t>
      </w:r>
      <w:r>
        <w:rPr>
          <w:rStyle w:val="VerbatimChar"/>
        </w:rPr>
        <w:t xml:space="preserve">ggplot2</w:t>
      </w:r>
      <w:r>
        <w:t xml:space="preserve">, etc.)</w:t>
      </w:r>
    </w:p>
    <w:p>
      <w:pPr>
        <w:numPr>
          <w:ilvl w:val="0"/>
          <w:numId w:val="1001"/>
        </w:numPr>
      </w:pPr>
      <w:r>
        <w:rPr>
          <w:rStyle w:val="VerbatimChar"/>
          <w:b/>
          <w:bCs/>
        </w:rPr>
        <w:t xml:space="preserve">dplyr</w:t>
      </w:r>
      <w:r>
        <w:t xml:space="preserve"> </w:t>
      </w:r>
      <w:r>
        <w:t xml:space="preserve">— A grammar of data manipulation: filter, arrange, summarise, and transform data efficiently using intuitive syntax.</w:t>
      </w:r>
    </w:p>
    <w:p>
      <w:pPr>
        <w:numPr>
          <w:ilvl w:val="0"/>
          <w:numId w:val="1001"/>
        </w:numPr>
      </w:pPr>
      <w:r>
        <w:rPr>
          <w:rStyle w:val="VerbatimChar"/>
          <w:b/>
          <w:bCs/>
        </w:rPr>
        <w:t xml:space="preserve">ggplot2</w:t>
      </w:r>
      <w:r>
        <w:t xml:space="preserve"> </w:t>
      </w:r>
      <w:r>
        <w:t xml:space="preserve">— A powerful and extensible system for creating elegant, layered data visualisations using the Grammar of Graphics.</w:t>
      </w:r>
    </w:p>
    <w:p>
      <w:pPr>
        <w:numPr>
          <w:ilvl w:val="0"/>
          <w:numId w:val="1001"/>
        </w:numPr>
      </w:pPr>
      <w:r>
        <w:rPr>
          <w:rStyle w:val="VerbatimChar"/>
          <w:b/>
          <w:bCs/>
        </w:rPr>
        <w:t xml:space="preserve">forcats</w:t>
      </w:r>
      <w:r>
        <w:t xml:space="preserve"> </w:t>
      </w:r>
      <w:r>
        <w:t xml:space="preserve">— Tools for working with categorical variables and factor reordering.</w:t>
      </w:r>
    </w:p>
    <w:p>
      <w:pPr>
        <w:numPr>
          <w:ilvl w:val="0"/>
          <w:numId w:val="1001"/>
        </w:numPr>
      </w:pPr>
      <w:r>
        <w:rPr>
          <w:rStyle w:val="VerbatimChar"/>
          <w:b/>
          <w:bCs/>
        </w:rPr>
        <w:t xml:space="preserve">scales</w:t>
      </w:r>
      <w:r>
        <w:t xml:space="preserve"> </w:t>
      </w:r>
      <w:r>
        <w:t xml:space="preserve">— Format axis labels (e.g. comma(), percent()) for ggplot2.</w:t>
      </w:r>
    </w:p>
    <w:p>
      <w:pPr>
        <w:numPr>
          <w:ilvl w:val="0"/>
          <w:numId w:val="1001"/>
        </w:numPr>
      </w:pPr>
      <w:r>
        <w:rPr>
          <w:rStyle w:val="VerbatimChar"/>
          <w:b/>
          <w:bCs/>
        </w:rPr>
        <w:t xml:space="preserve">patchwork</w:t>
      </w:r>
      <w:r>
        <w:t xml:space="preserve"> </w:t>
      </w:r>
      <w:r>
        <w:t xml:space="preserve">— Seamlessly combines multiple</w:t>
      </w:r>
      <w:r>
        <w:t xml:space="preserve"> </w:t>
      </w:r>
      <w:r>
        <w:rPr>
          <w:rStyle w:val="VerbatimChar"/>
        </w:rPr>
        <w:t xml:space="preserve">ggplot2</w:t>
      </w:r>
      <w:r>
        <w:t xml:space="preserve"> </w:t>
      </w:r>
      <w:r>
        <w:t xml:space="preserve">plots into custom layouts for comparison or storytelling.</w:t>
      </w:r>
    </w:p>
    <w:p>
      <w:pPr>
        <w:pStyle w:val="SourceCode"/>
      </w:pPr>
      <w:r>
        <w:rPr>
          <w:rStyle w:val="NormalTok"/>
        </w:rPr>
        <w:t xml:space="preserve">pacman</w:t>
      </w:r>
      <w:r>
        <w:rPr>
          <w:rStyle w:val="SpecialCharTok"/>
        </w:rPr>
        <w:t xml:space="preserve">::</w:t>
      </w:r>
      <w:r>
        <w:rPr>
          <w:rStyle w:val="FunctionTok"/>
        </w:rPr>
        <w:t xml:space="preserve">p_load</w:t>
      </w:r>
      <w:r>
        <w:rPr>
          <w:rStyle w:val="NormalTok"/>
        </w:rPr>
        <w:t xml:space="preserve">(tidyverse,dplyr,</w:t>
      </w:r>
      <w:r>
        <w:br/>
      </w:r>
      <w:r>
        <w:rPr>
          <w:rStyle w:val="NormalTok"/>
        </w:rPr>
        <w:t xml:space="preserve">               ggplot2, forcats, </w:t>
      </w:r>
      <w:r>
        <w:br/>
      </w:r>
      <w:r>
        <w:rPr>
          <w:rStyle w:val="NormalTok"/>
        </w:rPr>
        <w:t xml:space="preserve">               scales,patchwork)</w:t>
      </w:r>
    </w:p>
    <w:bookmarkEnd w:id="28"/>
    <w:bookmarkStart w:id="29" w:name="import-data"/>
    <w:p>
      <w:pPr>
        <w:pStyle w:val="Heading3"/>
      </w:pPr>
      <w:r>
        <w:t xml:space="preserve">Import data</w:t>
      </w:r>
    </w:p>
    <w:p>
      <w:pPr>
        <w:pStyle w:val="SourceCode"/>
      </w:pPr>
      <w:r>
        <w:rPr>
          <w:rStyle w:val="NormalTok"/>
        </w:rPr>
        <w:t xml:space="preserve">population_age_sex_2024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"respopagesex2024/respopagesex2024.csv"</w:t>
      </w:r>
      <w:r>
        <w:rPr>
          <w:rStyle w:val="NormalTok"/>
        </w:rPr>
        <w:t xml:space="preserve">)</w:t>
      </w:r>
    </w:p>
    <w:bookmarkEnd w:id="29"/>
    <w:bookmarkStart w:id="30" w:name="review-the-dataframes-structure"/>
    <w:p>
      <w:pPr>
        <w:pStyle w:val="Heading3"/>
      </w:pPr>
      <w:r>
        <w:rPr>
          <w:b/>
          <w:bCs/>
        </w:rPr>
        <w:t xml:space="preserve">Review the dataframe’s structure</w:t>
      </w:r>
    </w:p>
    <w:p>
      <w:pPr>
        <w:pStyle w:val="SourceCode"/>
      </w:pPr>
      <w:r>
        <w:rPr>
          <w:rStyle w:val="FunctionTok"/>
        </w:rPr>
        <w:t xml:space="preserve">glimpse</w:t>
      </w:r>
      <w:r>
        <w:rPr>
          <w:rStyle w:val="NormalTok"/>
        </w:rPr>
        <w:t xml:space="preserve">(population_age_sex_2024)</w:t>
      </w:r>
    </w:p>
    <w:p>
      <w:pPr>
        <w:pStyle w:val="SourceCode"/>
      </w:pPr>
      <w:r>
        <w:rPr>
          <w:rStyle w:val="VerbatimChar"/>
        </w:rPr>
        <w:t xml:space="preserve">Rows: 60,424</w:t>
      </w:r>
      <w:r>
        <w:br/>
      </w:r>
      <w:r>
        <w:rPr>
          <w:rStyle w:val="VerbatimChar"/>
        </w:rPr>
        <w:t xml:space="preserve">Columns: 6</w:t>
      </w:r>
      <w:r>
        <w:br/>
      </w:r>
      <w:r>
        <w:rPr>
          <w:rStyle w:val="VerbatimChar"/>
        </w:rPr>
        <w:t xml:space="preserve">$ PA   &lt;chr&gt; "Ang Mo Kio", "Ang Mo Kio", "Ang Mo Kio", "Ang Mo Kio", "Ang Mo K…</w:t>
      </w:r>
      <w:r>
        <w:br/>
      </w:r>
      <w:r>
        <w:rPr>
          <w:rStyle w:val="VerbatimChar"/>
        </w:rPr>
        <w:t xml:space="preserve">$ SZ   &lt;chr&gt; "Ang Mo Kio Town Centre", "Ang Mo Kio Town Centre", "Ang Mo Kio T…</w:t>
      </w:r>
      <w:r>
        <w:br/>
      </w:r>
      <w:r>
        <w:rPr>
          <w:rStyle w:val="VerbatimChar"/>
        </w:rPr>
        <w:t xml:space="preserve">$ Age  &lt;chr&gt; "0", "0", "1", "1", "2", "2", "3", "3", "4", "4", "5", "5", "6", …</w:t>
      </w:r>
      <w:r>
        <w:br/>
      </w:r>
      <w:r>
        <w:rPr>
          <w:rStyle w:val="VerbatimChar"/>
        </w:rPr>
        <w:t xml:space="preserve">$ Sex  &lt;chr&gt; "Males", "Females", "Males", "Females", "Males", "Females", "Male…</w:t>
      </w:r>
      <w:r>
        <w:br/>
      </w:r>
      <w:r>
        <w:rPr>
          <w:rStyle w:val="VerbatimChar"/>
        </w:rPr>
        <w:t xml:space="preserve">$ Pop  &lt;dbl&gt; 10, 10, 10, 10, 10, 10, 10, 10, 30, 10, 20, 10, 20, 30, 30, 10, 3…</w:t>
      </w:r>
      <w:r>
        <w:br/>
      </w:r>
      <w:r>
        <w:rPr>
          <w:rStyle w:val="VerbatimChar"/>
        </w:rPr>
        <w:t xml:space="preserve">$ Time &lt;dbl&gt; 2024, 2024, 2024, 2024, 2024, 2024, 2024, 2024, 2024, 2024, 2024,…</w:t>
      </w:r>
    </w:p>
    <w:bookmarkEnd w:id="30"/>
    <w:bookmarkStart w:id="31" w:name="checking-duplicate"/>
    <w:p>
      <w:pPr>
        <w:pStyle w:val="Heading3"/>
      </w:pPr>
      <w:r>
        <w:t xml:space="preserve">Checking duplicate</w:t>
      </w:r>
    </w:p>
    <w:p>
      <w:pPr>
        <w:pStyle w:val="SourceCode"/>
      </w:pPr>
      <w:r>
        <w:rPr>
          <w:rStyle w:val="NormalTok"/>
        </w:rPr>
        <w:t xml:space="preserve">population_age_sex_2024[</w:t>
      </w:r>
      <w:r>
        <w:rPr>
          <w:rStyle w:val="FunctionTok"/>
        </w:rPr>
        <w:t xml:space="preserve">duplicated</w:t>
      </w:r>
      <w:r>
        <w:rPr>
          <w:rStyle w:val="NormalTok"/>
        </w:rPr>
        <w:t xml:space="preserve">(population_age_sex_2024),]</w:t>
      </w:r>
    </w:p>
    <w:p>
      <w:pPr>
        <w:pStyle w:val="SourceCode"/>
      </w:pPr>
      <w:r>
        <w:rPr>
          <w:rStyle w:val="VerbatimChar"/>
        </w:rPr>
        <w:t xml:space="preserve"># A tibble: 0 × 6</w:t>
      </w:r>
      <w:r>
        <w:br/>
      </w:r>
      <w:r>
        <w:rPr>
          <w:rStyle w:val="VerbatimChar"/>
        </w:rPr>
        <w:t xml:space="preserve"># ℹ 6 variables: PA &lt;chr&gt;, SZ &lt;chr&gt;, Age &lt;chr&gt;, Sex &lt;chr&gt;, Pop &lt;dbl&gt;,</w:t>
      </w:r>
      <w:r>
        <w:br/>
      </w:r>
      <w:r>
        <w:rPr>
          <w:rStyle w:val="VerbatimChar"/>
        </w:rPr>
        <w:t xml:space="preserve">#   Time &lt;dbl&gt;</w:t>
      </w:r>
    </w:p>
    <w:bookmarkEnd w:id="31"/>
    <w:bookmarkEnd w:id="32"/>
    <w:bookmarkStart w:id="33" w:name="filtering-data-for-selected-variables"/>
    <w:p>
      <w:pPr>
        <w:pStyle w:val="Heading2"/>
      </w:pPr>
      <w:r>
        <w:t xml:space="preserve">Filtering data for selected variables</w:t>
      </w:r>
    </w:p>
    <w:tbl>
      <w:tblPr>
        <w:tblStyle w:val="Table"/>
        <w:tblW w:type="pct" w:w="5000"/>
        <w:tblLayout w:type="fixed"/>
        <w:tblLook w:firstRow="1" w:lastRow="0" w:firstColumn="0" w:lastColumn="0" w:noHBand="0" w:noVBand="0" w:val="0020"/>
      </w:tblPr>
      <w:tblGrid>
        <w:gridCol w:w="2200"/>
        <w:gridCol w:w="2090"/>
        <w:gridCol w:w="3630"/>
      </w:tblGrid>
      <w:tr>
        <w:trPr>
          <w:tblHeader w:val="on"/>
        </w:trPr>
        <w:tc>
          <w:tcPr/>
          <w:p>
            <w:pPr>
              <w:pStyle w:val="Compact"/>
              <w:jc w:val="left"/>
            </w:pPr>
            <w:r>
              <w:t xml:space="preserve">Variable Abbreviation</w:t>
            </w:r>
          </w:p>
        </w:tc>
        <w:tc>
          <w:tcPr/>
          <w:p>
            <w:pPr>
              <w:pStyle w:val="Compact"/>
              <w:jc w:val="left"/>
            </w:pPr>
            <w:r>
              <w:t xml:space="preserve">Variable Term</w:t>
            </w:r>
          </w:p>
        </w:tc>
        <w:tc>
          <w:tcPr/>
          <w:p>
            <w:pPr>
              <w:pStyle w:val="Compact"/>
              <w:jc w:val="left"/>
            </w:pPr>
            <w:r>
              <w:t xml:space="preserve">Variable Descrption</w:t>
            </w:r>
          </w:p>
        </w:tc>
      </w:tr>
      <w:tr>
        <w:tc>
          <w:tcPr/>
          <w:p>
            <w:pPr>
              <w:pStyle w:val="Compact"/>
              <w:jc w:val="left"/>
            </w:pPr>
            <w:r>
              <w:t xml:space="preserve">PA</w:t>
            </w:r>
          </w:p>
        </w:tc>
        <w:tc>
          <w:tcPr/>
          <w:p>
            <w:pPr>
              <w:pStyle w:val="Compact"/>
              <w:jc w:val="left"/>
            </w:pPr>
            <w:r>
              <w:t xml:space="preserve">Planning Area</w:t>
            </w:r>
          </w:p>
        </w:tc>
        <w:tc>
          <w:tcPr/>
          <w:p>
            <w:pPr>
              <w:pStyle w:val="Compact"/>
              <w:jc w:val="left"/>
            </w:pPr>
            <w:r>
              <w:t xml:space="preserve">These are the main geographical divisions used for planning and census purposes in Singapore. They are delineated by the Urban Redevelopment Authority (URA).</w:t>
            </w:r>
          </w:p>
        </w:tc>
      </w:tr>
      <w:tr>
        <w:tc>
          <w:tcPr/>
          <w:p>
            <w:pPr>
              <w:pStyle w:val="Compact"/>
              <w:jc w:val="left"/>
            </w:pPr>
            <w:r>
              <w:t xml:space="preserve">SZ</w:t>
            </w:r>
          </w:p>
        </w:tc>
        <w:tc>
          <w:tcPr/>
          <w:p>
            <w:pPr>
              <w:pStyle w:val="Compact"/>
              <w:jc w:val="left"/>
            </w:pPr>
            <w:r>
              <w:t xml:space="preserve">Subzone</w:t>
            </w:r>
          </w:p>
        </w:tc>
        <w:tc>
          <w:tcPr/>
          <w:p>
            <w:pPr>
              <w:pStyle w:val="Compact"/>
              <w:jc w:val="left"/>
            </w:pPr>
            <w:r>
              <w:t xml:space="preserve">Each planning area is further divided into subzones, which are smaller areas typically focused around a specific activity or neighborhood center. For example, within the Singapore River planning area, subzones include Boat Quay, Clarke Quay, and Robertson Quay.</w:t>
            </w:r>
          </w:p>
        </w:tc>
      </w:tr>
      <w:tr>
        <w:tc>
          <w:tcPr/>
          <w:p>
            <w:pPr>
              <w:pStyle w:val="Compact"/>
              <w:jc w:val="left"/>
            </w:pPr>
            <w:r>
              <w:t xml:space="preserve">Age</w:t>
            </w:r>
          </w:p>
        </w:tc>
        <w:tc>
          <w:tcPr/>
          <w:p>
            <w:pPr>
              <w:pStyle w:val="Compact"/>
              <w:jc w:val="left"/>
            </w:pPr>
            <w:r>
              <w:t xml:space="preserve">Age in years</w:t>
            </w:r>
          </w:p>
        </w:tc>
        <w:tc>
          <w:tcPr/>
          <w:p>
            <w:pPr>
              <w:pStyle w:val="Compact"/>
              <w:jc w:val="left"/>
            </w:pPr>
            <w:r>
              <w:t xml:space="preserve">The age of individuals, measured in completed years.</w:t>
            </w:r>
          </w:p>
        </w:tc>
      </w:tr>
      <w:tr>
        <w:tc>
          <w:tcPr/>
          <w:p>
            <w:pPr>
              <w:pStyle w:val="Compact"/>
              <w:jc w:val="left"/>
            </w:pPr>
            <w:r>
              <w:t xml:space="preserve">Sex</w:t>
            </w:r>
          </w:p>
        </w:tc>
        <w:tc>
          <w:tcPr/>
          <w:p>
            <w:pPr>
              <w:pStyle w:val="Compact"/>
              <w:jc w:val="left"/>
            </w:pPr>
            <w:r>
              <w:t xml:space="preserve">Gender</w:t>
            </w:r>
          </w:p>
        </w:tc>
        <w:tc>
          <w:tcPr/>
          <w:p>
            <w:pPr>
              <w:pStyle w:val="Compact"/>
              <w:jc w:val="left"/>
            </w:pPr>
            <w:r>
              <w:t xml:space="preserve">Biological sex classification of the population group, recorded as</w:t>
            </w:r>
            <w:r>
              <w:t xml:space="preserve"> </w:t>
            </w:r>
            <w:r>
              <w:t xml:space="preserve">“</w:t>
            </w:r>
            <w:r>
              <w:t xml:space="preserve">Males</w:t>
            </w:r>
            <w:r>
              <w:t xml:space="preserve">”</w:t>
            </w:r>
            <w:r>
              <w:t xml:space="preserve"> </w:t>
            </w:r>
            <w:r>
              <w:t xml:space="preserve">or</w:t>
            </w:r>
            <w:r>
              <w:t xml:space="preserve"> </w:t>
            </w:r>
            <w:r>
              <w:t xml:space="preserve">“</w:t>
            </w:r>
            <w:r>
              <w:t xml:space="preserve">Females.</w:t>
            </w:r>
            <w:r>
              <w:t xml:space="preserve">”</w:t>
            </w:r>
          </w:p>
        </w:tc>
      </w:tr>
      <w:tr>
        <w:tc>
          <w:tcPr/>
          <w:p>
            <w:pPr>
              <w:pStyle w:val="Compact"/>
              <w:jc w:val="left"/>
            </w:pPr>
            <w:r>
              <w:t xml:space="preserve">Pop</w:t>
            </w:r>
          </w:p>
        </w:tc>
        <w:tc>
          <w:tcPr/>
          <w:p>
            <w:pPr>
              <w:pStyle w:val="Compact"/>
              <w:jc w:val="left"/>
            </w:pPr>
            <w:r>
              <w:t xml:space="preserve">Population count</w:t>
            </w:r>
          </w:p>
        </w:tc>
        <w:tc>
          <w:tcPr/>
          <w:p>
            <w:pPr>
              <w:pStyle w:val="Compact"/>
              <w:jc w:val="left"/>
            </w:pPr>
            <w:r>
              <w:t xml:space="preserve">The total number of individuals in each age–sex group (or area) for the given year.</w:t>
            </w:r>
          </w:p>
        </w:tc>
      </w:tr>
      <w:tr>
        <w:tc>
          <w:tcPr/>
          <w:p>
            <w:pPr>
              <w:pStyle w:val="Compact"/>
              <w:jc w:val="left"/>
            </w:pPr>
            <w:r>
              <w:t xml:space="preserve">Time</w:t>
            </w:r>
          </w:p>
        </w:tc>
        <w:tc>
          <w:tcPr/>
          <w:p>
            <w:pPr>
              <w:pStyle w:val="Compact"/>
              <w:jc w:val="left"/>
            </w:pPr>
            <w:r>
              <w:t xml:space="preserve">Year</w:t>
            </w:r>
          </w:p>
        </w:tc>
        <w:tc>
          <w:tcPr/>
          <w:p>
            <w:pPr>
              <w:pStyle w:val="Compact"/>
              <w:jc w:val="left"/>
            </w:pPr>
            <w:r>
              <w:t xml:space="preserve">The calendar year to which the population data refers (e.g. 2024).</w:t>
            </w:r>
          </w:p>
        </w:tc>
      </w:tr>
    </w:tbl>
    <w:bookmarkEnd w:id="33"/>
    <w:bookmarkStart w:id="37" w:name="X655fa235136ac3ecbfd8fd7d98c062983671b20"/>
    <w:p>
      <w:pPr>
        <w:pStyle w:val="Heading2"/>
      </w:pPr>
      <w:r>
        <w:t xml:space="preserve">EDA 1: What is Singapore’s overall age-sex profile in 2024?</w:t>
      </w:r>
    </w:p>
    <w:p>
      <w:pPr>
        <w:pStyle w:val="SourceCode"/>
      </w:pPr>
      <w:r>
        <w:rPr>
          <w:rStyle w:val="FunctionTok"/>
        </w:rPr>
        <w:t xml:space="preserve">library</w:t>
      </w:r>
      <w:r>
        <w:rPr>
          <w:rStyle w:val="NormalTok"/>
        </w:rPr>
        <w:t xml:space="preserve">(dplyr)</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(forcats)</w:t>
      </w:r>
      <w:r>
        <w:br/>
      </w:r>
      <w:r>
        <w:rPr>
          <w:rStyle w:val="FunctionTok"/>
        </w:rPr>
        <w:t xml:space="preserve">library</w:t>
      </w:r>
      <w:r>
        <w:rPr>
          <w:rStyle w:val="NormalTok"/>
        </w:rPr>
        <w:t xml:space="preserve">(scales)</w:t>
      </w:r>
      <w:r>
        <w:br/>
      </w:r>
      <w:r>
        <w:br/>
      </w:r>
      <w:r>
        <w:rPr>
          <w:rStyle w:val="NormalTok"/>
        </w:rPr>
        <w:t xml:space="preserve">pop_pyramid </w:t>
      </w:r>
      <w:r>
        <w:rPr>
          <w:rStyle w:val="OtherTok"/>
        </w:rPr>
        <w:t xml:space="preserve">&lt;-</w:t>
      </w:r>
      <w:r>
        <w:rPr>
          <w:rStyle w:val="NormalTok"/>
        </w:rPr>
        <w:t xml:space="preserve"> population_age_sex_2024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Age_num =</w:t>
      </w:r>
      <w:r>
        <w:rPr>
          <w:rStyle w:val="NormalTok"/>
        </w:rPr>
        <w:t xml:space="preserve"> </w:t>
      </w:r>
      <w:r>
        <w:rPr>
          <w:rStyle w:val="FunctionTok"/>
        </w:rPr>
        <w:t xml:space="preserve">case_when</w:t>
      </w:r>
      <w:r>
        <w:rPr>
          <w:rStyle w:val="NormalTok"/>
        </w:rPr>
        <w:t xml:space="preserve">(</w:t>
      </w:r>
      <w:r>
        <w:br/>
      </w:r>
      <w:r>
        <w:rPr>
          <w:rStyle w:val="NormalTok"/>
        </w:rPr>
        <w:t xml:space="preserve">      Age </w:t>
      </w:r>
      <w:r>
        <w:rPr>
          <w:rStyle w:val="SpecialCharTok"/>
        </w:rPr>
        <w:t xml:space="preserve">==</w:t>
      </w:r>
      <w:r>
        <w:rPr>
          <w:rStyle w:val="NormalTok"/>
        </w:rPr>
        <w:t xml:space="preserve"> </w:t>
      </w:r>
      <w:r>
        <w:rPr>
          <w:rStyle w:val="StringTok"/>
        </w:rPr>
        <w:t xml:space="preserve">"90_and_Over"</w:t>
      </w:r>
      <w:r>
        <w:rPr>
          <w:rStyle w:val="NormalTok"/>
        </w:rPr>
        <w:t xml:space="preserve"> </w:t>
      </w:r>
      <w:r>
        <w:rPr>
          <w:rStyle w:val="SpecialCharTok"/>
        </w:rPr>
        <w:t xml:space="preserve">~</w:t>
      </w:r>
      <w:r>
        <w:rPr>
          <w:rStyle w:val="NormalTok"/>
        </w:rPr>
        <w:t xml:space="preserve"> </w:t>
      </w:r>
      <w:r>
        <w:rPr>
          <w:rStyle w:val="DecValTok"/>
        </w:rPr>
        <w:t xml:space="preserve">85</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FunctionTok"/>
        </w:rPr>
        <w:t xml:space="preserve">as.numeric</w:t>
      </w:r>
      <w:r>
        <w:rPr>
          <w:rStyle w:val="NormalTok"/>
        </w:rPr>
        <w:t xml:space="preserve">(Age)</w:t>
      </w:r>
      <w:r>
        <w:br/>
      </w:r>
      <w:r>
        <w:rPr>
          <w:rStyle w:val="NormalTok"/>
        </w:rPr>
        <w:t xml:space="preserve">    )</w:t>
      </w:r>
      <w:r>
        <w:br/>
      </w:r>
      <w:r>
        <w:rPr>
          <w:rStyle w:val="NormalTok"/>
        </w:rPr>
        <w:t xml:space="preserve">  ) </w:t>
      </w:r>
      <w:r>
        <w:rPr>
          <w:rStyle w:val="SpecialCharTok"/>
        </w:rPr>
        <w:t xml:space="preserve">%&gt;%</w:t>
      </w:r>
      <w:r>
        <w:br/>
      </w:r>
      <w:r>
        <w:rPr>
          <w:rStyle w:val="NormalTok"/>
        </w:rPr>
        <w:t xml:space="preserve">  </w:t>
      </w:r>
      <w:r>
        <w:rPr>
          <w:rStyle w:val="FunctionTok"/>
        </w:rPr>
        <w:t xml:space="preserve">filter</w:t>
      </w:r>
      <w:r>
        <w:rPr>
          <w:rStyle w:val="NormalTok"/>
        </w:rPr>
        <w:t xml:space="preserve">(Time </w:t>
      </w:r>
      <w:r>
        <w:rPr>
          <w:rStyle w:val="SpecialCharTok"/>
        </w:rPr>
        <w:t xml:space="preserve">==</w:t>
      </w:r>
      <w:r>
        <w:rPr>
          <w:rStyle w:val="NormalTok"/>
        </w:rPr>
        <w:t xml:space="preserve"> </w:t>
      </w:r>
      <w:r>
        <w:rPr>
          <w:rStyle w:val="DecValTok"/>
        </w:rPr>
        <w:t xml:space="preserve">2024</w:t>
      </w:r>
      <w:r>
        <w:rPr>
          <w:rStyle w:val="NormalTok"/>
        </w:rPr>
        <w:t xml:space="preserve">, </w:t>
      </w:r>
      <w:r>
        <w:rPr>
          <w:rStyle w:val="SpecialCharTok"/>
        </w:rPr>
        <w:t xml:space="preserve">!</w:t>
      </w:r>
      <w:r>
        <w:rPr>
          <w:rStyle w:val="FunctionTok"/>
        </w:rPr>
        <w:t xml:space="preserve">is.na</w:t>
      </w:r>
      <w:r>
        <w:rPr>
          <w:rStyle w:val="NormalTok"/>
        </w:rPr>
        <w:t xml:space="preserve">(Age_num))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AgeGroup =</w:t>
      </w:r>
      <w:r>
        <w:rPr>
          <w:rStyle w:val="NormalTok"/>
        </w:rPr>
        <w:t xml:space="preserve"> </w:t>
      </w:r>
      <w:r>
        <w:rPr>
          <w:rStyle w:val="FunctionTok"/>
        </w:rPr>
        <w:t xml:space="preserve">cut</w:t>
      </w:r>
      <w:r>
        <w:rPr>
          <w:rStyle w:val="NormalTok"/>
        </w:rPr>
        <w:t xml:space="preserve">(</w:t>
      </w:r>
      <w:r>
        <w:br/>
      </w:r>
      <w:r>
        <w:rPr>
          <w:rStyle w:val="NormalTok"/>
        </w:rPr>
        <w:t xml:space="preserve">      Age_num,</w:t>
      </w:r>
      <w:r>
        <w:br/>
      </w:r>
      <w:r>
        <w:rPr>
          <w:rStyle w:val="NormalTok"/>
        </w:rPr>
        <w:t xml:space="preserve">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85</w:t>
      </w:r>
      <w:r>
        <w:rPr>
          <w:rStyle w:val="NormalTok"/>
        </w:rPr>
        <w:t xml:space="preserve">, </w:t>
      </w:r>
      <w:r>
        <w:rPr>
          <w:rStyle w:val="AttributeTok"/>
        </w:rPr>
        <w:t xml:space="preserve">by =</w:t>
      </w:r>
      <w:r>
        <w:rPr>
          <w:rStyle w:val="NormalTok"/>
        </w:rPr>
        <w:t xml:space="preserve"> </w:t>
      </w:r>
      <w:r>
        <w:rPr>
          <w:rStyle w:val="DecValTok"/>
        </w:rPr>
        <w:t xml:space="preserve">5</w:t>
      </w:r>
      <w:r>
        <w:rPr>
          <w:rStyle w:val="NormalTok"/>
        </w:rPr>
        <w:t xml:space="preserve">), </w:t>
      </w:r>
      <w:r>
        <w:rPr>
          <w:rStyle w:val="ConstantTok"/>
        </w:rPr>
        <w:t xml:space="preserve">Inf</w:t>
      </w:r>
      <w:r>
        <w:rPr>
          <w:rStyle w:val="NormalTok"/>
        </w:rPr>
        <w:t xml:space="preserve">),</w:t>
      </w:r>
      <w:r>
        <w:br/>
      </w:r>
      <w:r>
        <w:rPr>
          <w:rStyle w:val="NormalTok"/>
        </w:rPr>
        <w:t xml:space="preserve">      </w:t>
      </w:r>
      <w:r>
        <w:rPr>
          <w:rStyle w:val="AttributeTok"/>
        </w:rPr>
        <w:t xml:space="preserve">right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FunctionTok"/>
        </w:rPr>
        <w:t xml:space="preserve">paste</w:t>
      </w:r>
      <w:r>
        <w:rPr>
          <w:rStyle w:val="NormalTok"/>
        </w:rPr>
        <w:t xml:space="preserve">(</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80</w:t>
      </w:r>
      <w:r>
        <w:rPr>
          <w:rStyle w:val="NormalTok"/>
        </w:rPr>
        <w:t xml:space="preserve">, </w:t>
      </w:r>
      <w:r>
        <w:rPr>
          <w:rStyle w:val="AttributeTok"/>
        </w:rPr>
        <w:t xml:space="preserve">by =</w:t>
      </w:r>
      <w:r>
        <w:rPr>
          <w:rStyle w:val="NormalTok"/>
        </w:rPr>
        <w:t xml:space="preserve"> </w:t>
      </w:r>
      <w:r>
        <w:rPr>
          <w:rStyle w:val="DecValTok"/>
        </w:rPr>
        <w:t xml:space="preserve">5</w:t>
      </w:r>
      <w:r>
        <w:rPr>
          <w:rStyle w:val="NormalTok"/>
        </w:rPr>
        <w:t xml:space="preserve">), </w:t>
      </w:r>
      <w:r>
        <w:rPr>
          <w:rStyle w:val="FunctionTok"/>
        </w:rPr>
        <w:t xml:space="preserve">seq</w:t>
      </w:r>
      <w:r>
        <w:rPr>
          <w:rStyle w:val="NormalTok"/>
        </w:rPr>
        <w:t xml:space="preserve">(</w:t>
      </w:r>
      <w:r>
        <w:rPr>
          <w:rStyle w:val="DecValTok"/>
        </w:rPr>
        <w:t xml:space="preserve">4</w:t>
      </w:r>
      <w:r>
        <w:rPr>
          <w:rStyle w:val="NormalTok"/>
        </w:rPr>
        <w:t xml:space="preserve">, </w:t>
      </w:r>
      <w:r>
        <w:rPr>
          <w:rStyle w:val="DecValTok"/>
        </w:rPr>
        <w:t xml:space="preserve">84</w:t>
      </w:r>
      <w:r>
        <w:rPr>
          <w:rStyle w:val="NormalTok"/>
        </w:rPr>
        <w:t xml:space="preserve">, </w:t>
      </w:r>
      <w:r>
        <w:rPr>
          <w:rStyle w:val="AttributeTok"/>
        </w:rPr>
        <w:t xml:space="preserve">by =</w:t>
      </w:r>
      <w:r>
        <w:rPr>
          <w:rStyle w:val="NormalTok"/>
        </w:rPr>
        <w:t xml:space="preserve"> </w:t>
      </w:r>
      <w:r>
        <w:rPr>
          <w:rStyle w:val="DecValTok"/>
        </w:rPr>
        <w:t xml:space="preserve">5</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rPr>
          <w:rStyle w:val="StringTok"/>
        </w:rPr>
        <w:t xml:space="preserve">"85+"</w:t>
      </w:r>
      <w:r>
        <w:rPr>
          <w:rStyle w:val="NormalTok"/>
        </w:rPr>
        <w:t xml:space="preserve">)</w:t>
      </w:r>
      <w:r>
        <w:br/>
      </w:r>
      <w:r>
        <w:rPr>
          <w:rStyle w:val="NormalTok"/>
        </w:rPr>
        <w:t xml:space="preserve">    )</w:t>
      </w:r>
      <w:r>
        <w:br/>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(AgeGroup, Sex)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count =</w:t>
      </w:r>
      <w:r>
        <w:rPr>
          <w:rStyle w:val="NormalTok"/>
        </w:rPr>
        <w:t xml:space="preserve"> </w:t>
      </w:r>
      <w:r>
        <w:rPr>
          <w:rStyle w:val="FunctionTok"/>
        </w:rPr>
        <w:t xml:space="preserve">sum</w:t>
      </w:r>
      <w:r>
        <w:rPr>
          <w:rStyle w:val="NormalTok"/>
        </w:rPr>
        <w:t xml:space="preserve">(Pop), </w:t>
      </w:r>
      <w:r>
        <w:rPr>
          <w:rStyle w:val="AttributeTok"/>
        </w:rPr>
        <w:t xml:space="preserve">.groups =</w:t>
      </w:r>
      <w:r>
        <w:rPr>
          <w:rStyle w:val="NormalTok"/>
        </w:rPr>
        <w:t xml:space="preserve"> </w:t>
      </w:r>
      <w:r>
        <w:rPr>
          <w:rStyle w:val="StringTok"/>
        </w:rPr>
        <w:t xml:space="preserve">"drop"</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count =</w:t>
      </w:r>
      <w:r>
        <w:rPr>
          <w:rStyle w:val="NormalTok"/>
        </w:rPr>
        <w:t xml:space="preserve"> </w:t>
      </w:r>
      <w:r>
        <w:rPr>
          <w:rStyle w:val="FunctionTok"/>
        </w:rPr>
        <w:t xml:space="preserve">ifelse</w:t>
      </w:r>
      <w:r>
        <w:rPr>
          <w:rStyle w:val="NormalTok"/>
        </w:rPr>
        <w:t xml:space="preserve">(Sex </w:t>
      </w:r>
      <w:r>
        <w:rPr>
          <w:rStyle w:val="SpecialCharTok"/>
        </w:rPr>
        <w:t xml:space="preserve">==</w:t>
      </w:r>
      <w:r>
        <w:rPr>
          <w:rStyle w:val="NormalTok"/>
        </w:rPr>
        <w:t xml:space="preserve"> </w:t>
      </w:r>
      <w:r>
        <w:rPr>
          <w:rStyle w:val="StringTok"/>
        </w:rPr>
        <w:t xml:space="preserve">"Males"</w:t>
      </w:r>
      <w:r>
        <w:rPr>
          <w:rStyle w:val="NormalTok"/>
        </w:rPr>
        <w:t xml:space="preserve">, </w:t>
      </w:r>
      <w:r>
        <w:rPr>
          <w:rStyle w:val="SpecialCharTok"/>
        </w:rPr>
        <w:t xml:space="preserve">-</w:t>
      </w:r>
      <w:r>
        <w:rPr>
          <w:rStyle w:val="NormalTok"/>
        </w:rPr>
        <w:t xml:space="preserve">count, count),</w:t>
      </w:r>
      <w:r>
        <w:br/>
      </w:r>
      <w:r>
        <w:rPr>
          <w:rStyle w:val="NormalTok"/>
        </w:rPr>
        <w:t xml:space="preserve">    </w:t>
      </w:r>
      <w:r>
        <w:rPr>
          <w:rStyle w:val="AttributeTok"/>
        </w:rPr>
        <w:t xml:space="preserve">AgeGroup =</w:t>
      </w:r>
      <w:r>
        <w:rPr>
          <w:rStyle w:val="NormalTok"/>
        </w:rPr>
        <w:t xml:space="preserve"> </w:t>
      </w:r>
      <w:r>
        <w:rPr>
          <w:rStyle w:val="FunctionTok"/>
        </w:rPr>
        <w:t xml:space="preserve">fct_rev</w:t>
      </w:r>
      <w:r>
        <w:rPr>
          <w:rStyle w:val="NormalTok"/>
        </w:rPr>
        <w:t xml:space="preserve">(AgeGroup),</w:t>
      </w:r>
      <w:r>
        <w:br/>
      </w:r>
      <w:r>
        <w:rPr>
          <w:rStyle w:val="NormalTok"/>
        </w:rPr>
        <w:t xml:space="preserve">    </w:t>
      </w:r>
      <w:r>
        <w:rPr>
          <w:rStyle w:val="AttributeTok"/>
        </w:rPr>
        <w:t xml:space="preserve">label =</w:t>
      </w:r>
      <w:r>
        <w:rPr>
          <w:rStyle w:val="NormalTok"/>
        </w:rPr>
        <w:t xml:space="preserve"> </w:t>
      </w:r>
      <w:r>
        <w:rPr>
          <w:rStyle w:val="FunctionTok"/>
        </w:rPr>
        <w:t xml:space="preserve">comma</w:t>
      </w:r>
      <w:r>
        <w:rPr>
          <w:rStyle w:val="NormalTok"/>
        </w:rPr>
        <w:t xml:space="preserve">(</w:t>
      </w:r>
      <w:r>
        <w:rPr>
          <w:rStyle w:val="FunctionTok"/>
        </w:rPr>
        <w:t xml:space="preserve">abs</w:t>
      </w:r>
      <w:r>
        <w:rPr>
          <w:rStyle w:val="NormalTok"/>
        </w:rPr>
        <w:t xml:space="preserve">(count))</w:t>
      </w:r>
      <w:r>
        <w:br/>
      </w:r>
      <w:r>
        <w:rPr>
          <w:rStyle w:val="NormalTok"/>
        </w:rPr>
        <w:t xml:space="preserve">  )</w:t>
      </w:r>
      <w:r>
        <w:br/>
      </w:r>
      <w:r>
        <w:br/>
      </w:r>
      <w:r>
        <w:rPr>
          <w:rStyle w:val="FunctionTok"/>
        </w:rPr>
        <w:t xml:space="preserve">ggplot</w:t>
      </w:r>
      <w:r>
        <w:rPr>
          <w:rStyle w:val="NormalTok"/>
        </w:rPr>
        <w:t xml:space="preserve">(pop_pyramid, </w:t>
      </w:r>
      <w:r>
        <w:rPr>
          <w:rStyle w:val="FunctionTok"/>
        </w:rPr>
        <w:t xml:space="preserve">aes</w:t>
      </w:r>
      <w:r>
        <w:rPr>
          <w:rStyle w:val="NormalTok"/>
        </w:rPr>
        <w:t xml:space="preserve">(</w:t>
      </w:r>
      <w:r>
        <w:rPr>
          <w:rStyle w:val="AttributeTok"/>
        </w:rPr>
        <w:t xml:space="preserve">x =</w:t>
      </w:r>
      <w:r>
        <w:rPr>
          <w:rStyle w:val="NormalTok"/>
        </w:rPr>
        <w:t xml:space="preserve"> count, </w:t>
      </w:r>
      <w:r>
        <w:rPr>
          <w:rStyle w:val="AttributeTok"/>
        </w:rPr>
        <w:t xml:space="preserve">y =</w:t>
      </w:r>
      <w:r>
        <w:rPr>
          <w:rStyle w:val="NormalTok"/>
        </w:rPr>
        <w:t xml:space="preserve"> AgeGroup, </w:t>
      </w:r>
      <w:r>
        <w:rPr>
          <w:rStyle w:val="AttributeTok"/>
        </w:rPr>
        <w:t xml:space="preserve">fill =</w:t>
      </w:r>
      <w:r>
        <w:rPr>
          <w:rStyle w:val="NormalTok"/>
        </w:rPr>
        <w:t xml:space="preserve"> Sex))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width =</w:t>
      </w:r>
      <w:r>
        <w:rPr>
          <w:rStyle w:val="NormalTok"/>
        </w:rPr>
        <w:t xml:space="preserve"> </w:t>
      </w:r>
      <w:r>
        <w:rPr>
          <w:rStyle w:val="FloatTok"/>
        </w:rPr>
        <w:t xml:space="preserve">0.8</w:t>
      </w:r>
      <w:r>
        <w:rPr>
          <w:rStyle w:val="NormalTok"/>
        </w:rPr>
        <w:t xml:space="preserve">, </w:t>
      </w:r>
      <w:r>
        <w:rPr>
          <w:rStyle w:val="AttributeTok"/>
        </w:rPr>
        <w:t xml:space="preserve">colour =</w:t>
      </w:r>
      <w:r>
        <w:rPr>
          <w:rStyle w:val="NormalTok"/>
        </w:rPr>
        <w:t xml:space="preserve"> </w:t>
      </w:r>
      <w:r>
        <w:rPr>
          <w:rStyle w:val="StringTok"/>
        </w:rPr>
        <w:t xml:space="preserve">"white"</w:t>
      </w:r>
      <w:r>
        <w:rPr>
          <w:rStyle w:val="NormalTok"/>
        </w:rPr>
        <w:t xml:space="preserve">, </w:t>
      </w:r>
      <w:r>
        <w:rPr>
          <w:rStyle w:val="AttributeTok"/>
        </w:rPr>
        <w:t xml:space="preserve">alpha =</w:t>
      </w:r>
      <w:r>
        <w:rPr>
          <w:rStyle w:val="NormalTok"/>
        </w:rPr>
        <w:t xml:space="preserve"> </w:t>
      </w:r>
      <w:r>
        <w:rPr>
          <w:rStyle w:val="FloatTok"/>
        </w:rPr>
        <w:t xml:space="preserve">0.85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label),</w:t>
      </w:r>
      <w:r>
        <w:br/>
      </w:r>
      <w:r>
        <w:rPr>
          <w:rStyle w:val="NormalTok"/>
        </w:rPr>
        <w:t xml:space="preserve">            </w:t>
      </w:r>
      <w:r>
        <w:rPr>
          <w:rStyle w:val="AttributeTok"/>
        </w:rPr>
        <w:t xml:space="preserve">hjust =</w:t>
      </w:r>
      <w:r>
        <w:rPr>
          <w:rStyle w:val="NormalTok"/>
        </w:rPr>
        <w:t xml:space="preserve"> </w:t>
      </w:r>
      <w:r>
        <w:rPr>
          <w:rStyle w:val="FunctionTok"/>
        </w:rPr>
        <w:t xml:space="preserve">ifelse</w:t>
      </w:r>
      <w:r>
        <w:rPr>
          <w:rStyle w:val="NormalTok"/>
        </w:rPr>
        <w:t xml:space="preserve">(pop_pyramid</w:t>
      </w:r>
      <w:r>
        <w:rPr>
          <w:rStyle w:val="SpecialCharTok"/>
        </w:rPr>
        <w:t xml:space="preserve">$</w:t>
      </w:r>
      <w:r>
        <w:rPr>
          <w:rStyle w:val="NormalTok"/>
        </w:rPr>
        <w:t xml:space="preserve">Sex </w:t>
      </w:r>
      <w:r>
        <w:rPr>
          <w:rStyle w:val="SpecialCharTok"/>
        </w:rPr>
        <w:t xml:space="preserve">==</w:t>
      </w:r>
      <w:r>
        <w:rPr>
          <w:rStyle w:val="NormalTok"/>
        </w:rPr>
        <w:t xml:space="preserve"> </w:t>
      </w:r>
      <w:r>
        <w:rPr>
          <w:rStyle w:val="StringTok"/>
        </w:rPr>
        <w:t xml:space="preserve">"Males"</w:t>
      </w:r>
      <w:r>
        <w:rPr>
          <w:rStyle w:val="NormalTok"/>
        </w:rPr>
        <w:t xml:space="preserve">, </w:t>
      </w:r>
      <w:r>
        <w:rPr>
          <w:rStyle w:val="FloatTok"/>
        </w:rPr>
        <w:t xml:space="preserve">1.05</w:t>
      </w:r>
      <w:r>
        <w:rPr>
          <w:rStyle w:val="NormalTok"/>
        </w:rPr>
        <w:t xml:space="preserve">, </w:t>
      </w:r>
      <w:r>
        <w:rPr>
          <w:rStyle w:val="SpecialCharTok"/>
        </w:rPr>
        <w:t xml:space="preserve">-</w:t>
      </w:r>
      <w:r>
        <w:rPr>
          <w:rStyle w:val="FloatTok"/>
        </w:rPr>
        <w:t xml:space="preserve">0.15</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FloatTok"/>
        </w:rPr>
        <w:t xml:space="preserve">3.0</w:t>
      </w:r>
      <w:r>
        <w:rPr>
          <w:rStyle w:val="NormalTok"/>
        </w:rPr>
        <w:t xml:space="preserve">, </w:t>
      </w:r>
      <w:r>
        <w:rPr>
          <w:rStyle w:val="AttributeTok"/>
        </w:rPr>
        <w:t xml:space="preserve">color =</w:t>
      </w:r>
      <w:r>
        <w:rPr>
          <w:rStyle w:val="NormalTok"/>
        </w:rPr>
        <w:t xml:space="preserve"> </w:t>
      </w:r>
      <w:r>
        <w:rPr>
          <w:rStyle w:val="StringTok"/>
        </w:rPr>
        <w:t xml:space="preserve">"#333333"</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scale_x_continuous</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FunctionTok"/>
        </w:rPr>
        <w:t xml:space="preserve">pretty_breaks</w:t>
      </w:r>
      <w:r>
        <w:rPr>
          <w:rStyle w:val="NormalTok"/>
        </w:rPr>
        <w:t xml:space="preserve">(</w:t>
      </w:r>
      <w:r>
        <w:rPr>
          <w:rStyle w:val="AttributeTok"/>
        </w:rPr>
        <w:t xml:space="preserve">n =</w:t>
      </w:r>
      <w:r>
        <w:rPr>
          <w:rStyle w:val="NormalTok"/>
        </w:rPr>
        <w:t xml:space="preserve"> </w:t>
      </w:r>
      <w:r>
        <w:rPr>
          <w:rStyle w:val="DecValTok"/>
        </w:rPr>
        <w:t xml:space="preserve">6</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ControlFlowTok"/>
        </w:rPr>
        <w:t xml:space="preserve">function</w:t>
      </w:r>
      <w:r>
        <w:rPr>
          <w:rStyle w:val="NormalTok"/>
        </w:rPr>
        <w:t xml:space="preserve">(x) </w:t>
      </w:r>
      <w:r>
        <w:rPr>
          <w:rStyle w:val="FunctionTok"/>
        </w:rPr>
        <w:t xml:space="preserve">comma</w:t>
      </w:r>
      <w:r>
        <w:rPr>
          <w:rStyle w:val="NormalTok"/>
        </w:rPr>
        <w:t xml:space="preserve">(</w:t>
      </w:r>
      <w:r>
        <w:rPr>
          <w:rStyle w:val="FunctionTok"/>
        </w:rPr>
        <w:t xml:space="preserve">abs</w:t>
      </w:r>
      <w:r>
        <w:rPr>
          <w:rStyle w:val="NormalTok"/>
        </w:rPr>
        <w:t xml:space="preserve">(x)),</w:t>
      </w:r>
      <w:r>
        <w:br/>
      </w:r>
      <w:r>
        <w:rPr>
          <w:rStyle w:val="NormalTok"/>
        </w:rPr>
        <w:t xml:space="preserve">    </w:t>
      </w:r>
      <w:r>
        <w:rPr>
          <w:rStyle w:val="AttributeTok"/>
        </w:rPr>
        <w:t xml:space="preserve">expand =</w:t>
      </w:r>
      <w:r>
        <w:rPr>
          <w:rStyle w:val="NormalTok"/>
        </w:rPr>
        <w:t xml:space="preserve"> </w:t>
      </w:r>
      <w:r>
        <w:rPr>
          <w:rStyle w:val="FunctionTok"/>
        </w:rPr>
        <w:t xml:space="preserve">expansion</w:t>
      </w:r>
      <w:r>
        <w:rPr>
          <w:rStyle w:val="NormalTok"/>
        </w:rPr>
        <w:t xml:space="preserve">(</w:t>
      </w:r>
      <w:r>
        <w:rPr>
          <w:rStyle w:val="AttributeTok"/>
        </w:rPr>
        <w:t xml:space="preserve">mult =</w:t>
      </w:r>
      <w:r>
        <w:rPr>
          <w:rStyle w:val="NormalTok"/>
        </w:rPr>
        <w:t xml:space="preserve"> </w:t>
      </w:r>
      <w:r>
        <w:rPr>
          <w:rStyle w:val="FunctionTok"/>
        </w:rPr>
        <w:t xml:space="preserve">c</w:t>
      </w:r>
      <w:r>
        <w:rPr>
          <w:rStyle w:val="NormalTok"/>
        </w:rPr>
        <w:t xml:space="preserve">(</w:t>
      </w:r>
      <w:r>
        <w:rPr>
          <w:rStyle w:val="FloatTok"/>
        </w:rPr>
        <w:t xml:space="preserve">0.25</w:t>
      </w:r>
      <w:r>
        <w:rPr>
          <w:rStyle w:val="NormalTok"/>
        </w:rPr>
        <w:t xml:space="preserve">, </w:t>
      </w:r>
      <w:r>
        <w:rPr>
          <w:rStyle w:val="FloatTok"/>
        </w:rPr>
        <w:t xml:space="preserve">0.25</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"Males"</w:t>
      </w:r>
      <w:r>
        <w:rPr>
          <w:rStyle w:val="NormalTok"/>
        </w:rPr>
        <w:t xml:space="preserve"> </w:t>
      </w:r>
      <w:r>
        <w:rPr>
          <w:rStyle w:val="OtherTok"/>
        </w:rPr>
        <w:t xml:space="preserve">=</w:t>
      </w:r>
      <w:r>
        <w:rPr>
          <w:rStyle w:val="NormalTok"/>
        </w:rPr>
        <w:t xml:space="preserve"> </w:t>
      </w:r>
      <w:r>
        <w:rPr>
          <w:rStyle w:val="StringTok"/>
        </w:rPr>
        <w:t xml:space="preserve">"#75E6E1"</w:t>
      </w:r>
      <w:r>
        <w:rPr>
          <w:rStyle w:val="NormalTok"/>
        </w:rPr>
        <w:t xml:space="preserve">, </w:t>
      </w:r>
      <w:r>
        <w:rPr>
          <w:rStyle w:val="StringTok"/>
        </w:rPr>
        <w:t xml:space="preserve">"Females"</w:t>
      </w:r>
      <w:r>
        <w:rPr>
          <w:rStyle w:val="NormalTok"/>
        </w:rPr>
        <w:t xml:space="preserve"> </w:t>
      </w:r>
      <w:r>
        <w:rPr>
          <w:rStyle w:val="OtherTok"/>
        </w:rPr>
        <w:t xml:space="preserve">=</w:t>
      </w:r>
      <w:r>
        <w:rPr>
          <w:rStyle w:val="NormalTok"/>
        </w:rPr>
        <w:t xml:space="preserve"> </w:t>
      </w:r>
      <w:r>
        <w:rPr>
          <w:rStyle w:val="StringTok"/>
        </w:rPr>
        <w:t xml:space="preserve">"#E6757A"</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"Singapore's Age and Gender Distribution (2024)"</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"Population count"</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"Age group"</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ConstantTok"/>
        </w:rPr>
        <w:t xml:space="preserve">NULL</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13</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panel.grid.major.y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panel.grid.major.x =</w:t>
      </w:r>
      <w:r>
        <w:rPr>
          <w:rStyle w:val="NormalTok"/>
        </w:rPr>
        <w:t xml:space="preserve"> </w:t>
      </w:r>
      <w:r>
        <w:rPr>
          <w:rStyle w:val="FunctionTok"/>
        </w:rPr>
        <w:t xml:space="preserve">element_line</w:t>
      </w:r>
      <w:r>
        <w:rPr>
          <w:rStyle w:val="NormalTok"/>
        </w:rPr>
        <w:t xml:space="preserve">(</w:t>
      </w:r>
      <w:r>
        <w:rPr>
          <w:rStyle w:val="AttributeTok"/>
        </w:rPr>
        <w:t xml:space="preserve">colour =</w:t>
      </w:r>
      <w:r>
        <w:rPr>
          <w:rStyle w:val="NormalTok"/>
        </w:rPr>
        <w:t xml:space="preserve"> </w:t>
      </w:r>
      <w:r>
        <w:rPr>
          <w:rStyle w:val="StringTok"/>
        </w:rPr>
        <w:t xml:space="preserve">"#ECECEC"</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AttributeTok"/>
        </w:rPr>
        <w:t xml:space="preserve">t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p>
    <w:p>
      <w:pPr>
        <w:pStyle w:val="FirstParagraph"/>
      </w:pPr>
      <w:r>
        <w:drawing>
          <wp:inline>
            <wp:extent cx="4620126" cy="3696101"/>
            <wp:effectExtent b="0" l="0" r="0" t="0"/>
            <wp:docPr descr="" title="" id="35" name="Picture"/>
            <a:graphic>
              <a:graphicData uri="http://schemas.openxmlformats.org/drawingml/2006/picture">
                <pic:pic>
                  <pic:nvPicPr>
                    <pic:cNvPr descr="Take-home_Ex01_files/figure-docx/unnamed-chunk-5-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bookmarkEnd w:id="37"/>
    <w:bookmarkStart w:id="38" w:name="sec-insights"/>
    <w:p>
      <w:pPr>
        <w:pStyle w:val="Heading2"/>
      </w:pPr>
      <w:r>
        <w:t xml:space="preserve">Insights</w:t>
      </w:r>
    </w:p>
    <w:p>
      <w:pPr>
        <w:pStyle w:val="Compact"/>
        <w:numPr>
          <w:ilvl w:val="0"/>
          <w:numId w:val="1002"/>
        </w:numPr>
      </w:pPr>
      <w:r>
        <w:t xml:space="preserve">Singapore’s age distribution shows a prominent bulge in the 30–44 age range, highlighting a strong mid-career workforce in Singapore.</w:t>
      </w:r>
    </w:p>
    <w:p>
      <w:pPr>
        <w:pStyle w:val="Compact"/>
        <w:numPr>
          <w:ilvl w:val="0"/>
          <w:numId w:val="1002"/>
        </w:numPr>
      </w:pPr>
      <w:r>
        <w:t xml:space="preserve">Younger age groups (0–19) appear noticeably narrower, suggesting a decline in birth rates in recent years.</w:t>
      </w:r>
    </w:p>
    <w:p>
      <w:pPr>
        <w:pStyle w:val="Compact"/>
        <w:numPr>
          <w:ilvl w:val="0"/>
          <w:numId w:val="1002"/>
        </w:numPr>
      </w:pPr>
      <w:r>
        <w:t xml:space="preserve">The sex ratio is balanced in younger cohorts, shifts slightly towards females in middle age (35–59), and shows a female majority in the 85+ group.</w:t>
      </w:r>
    </w:p>
    <w:p>
      <w:pPr>
        <w:pStyle w:val="FirstParagraph"/>
      </w:pPr>
      <w:r>
        <w:rPr>
          <w:b/>
          <w:bCs/>
        </w:rPr>
        <w:t xml:space="preserve">Policy implications</w:t>
      </w:r>
    </w:p>
    <w:p>
      <w:pPr>
        <w:numPr>
          <w:ilvl w:val="0"/>
          <w:numId w:val="1003"/>
        </w:numPr>
      </w:pPr>
      <w:r>
        <w:t xml:space="preserve">Workforce planning should prioritize support for the dominant mid-career population to sustain productivity.</w:t>
      </w:r>
    </w:p>
    <w:p>
      <w:pPr>
        <w:numPr>
          <w:ilvl w:val="0"/>
          <w:numId w:val="1003"/>
        </w:numPr>
      </w:pPr>
      <w:r>
        <w:t xml:space="preserve">A smaller youth base could lead to future labor shortages, highlighting the need for long-term talent development and family-friendly policies.</w:t>
      </w:r>
    </w:p>
    <w:bookmarkEnd w:id="38"/>
    <w:bookmarkStart w:id="48" w:name="X0fe794ef78a9b121ae18fbcec23d0f4da4b1bd8"/>
    <w:p>
      <w:pPr>
        <w:pStyle w:val="Heading2"/>
      </w:pPr>
      <w:r>
        <w:t xml:space="preserve">EDA 2: Which Planning Areas(PA) are the most populous, and how is that population split by gender?</w:t>
      </w:r>
    </w:p>
    <w:p>
      <w:pPr>
        <w:pStyle w:val="Heading3"/>
      </w:pPr>
      <w:r>
        <w:t xml:space="preserve">Overall Population</w:t>
      </w:r>
    </w:p>
    <w:p>
      <w:pPr>
        <w:pStyle w:val="SourceCode"/>
      </w:pPr>
      <w:r>
        <w:rPr>
          <w:rStyle w:val="NormalTok"/>
        </w:rPr>
        <w:t xml:space="preserve">pa_gender </w:t>
      </w:r>
      <w:r>
        <w:rPr>
          <w:rStyle w:val="OtherTok"/>
        </w:rPr>
        <w:t xml:space="preserve">&lt;-</w:t>
      </w:r>
      <w:r>
        <w:rPr>
          <w:rStyle w:val="NormalTok"/>
        </w:rPr>
        <w:t xml:space="preserve"> population_age_sex_2024 </w:t>
      </w:r>
      <w:r>
        <w:rPr>
          <w:rStyle w:val="SpecialCharTok"/>
        </w:rPr>
        <w:t xml:space="preserve">%&gt;%</w:t>
      </w:r>
      <w:r>
        <w:br/>
      </w:r>
      <w:r>
        <w:rPr>
          <w:rStyle w:val="NormalTok"/>
        </w:rPr>
        <w:t xml:space="preserve">  </w:t>
      </w:r>
      <w:r>
        <w:rPr>
          <w:rStyle w:val="FunctionTok"/>
        </w:rPr>
        <w:t xml:space="preserve">filter</w:t>
      </w:r>
      <w:r>
        <w:rPr>
          <w:rStyle w:val="NormalTok"/>
        </w:rPr>
        <w:t xml:space="preserve">(Time </w:t>
      </w:r>
      <w:r>
        <w:rPr>
          <w:rStyle w:val="SpecialCharTok"/>
        </w:rPr>
        <w:t xml:space="preserve">==</w:t>
      </w:r>
      <w:r>
        <w:rPr>
          <w:rStyle w:val="NormalTok"/>
        </w:rPr>
        <w:t xml:space="preserve"> </w:t>
      </w:r>
      <w:r>
        <w:rPr>
          <w:rStyle w:val="DecValTok"/>
        </w:rPr>
        <w:t xml:space="preserve">2024</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(PA, Sex)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Pop =</w:t>
      </w:r>
      <w:r>
        <w:rPr>
          <w:rStyle w:val="NormalTok"/>
        </w:rPr>
        <w:t xml:space="preserve"> </w:t>
      </w:r>
      <w:r>
        <w:rPr>
          <w:rStyle w:val="FunctionTok"/>
        </w:rPr>
        <w:t xml:space="preserve">sum</w:t>
      </w:r>
      <w:r>
        <w:rPr>
          <w:rStyle w:val="NormalTok"/>
        </w:rPr>
        <w:t xml:space="preserve">(Pop), </w:t>
      </w:r>
      <w:r>
        <w:rPr>
          <w:rStyle w:val="AttributeTok"/>
        </w:rPr>
        <w:t xml:space="preserve">.groups =</w:t>
      </w:r>
      <w:r>
        <w:rPr>
          <w:rStyle w:val="NormalTok"/>
        </w:rPr>
        <w:t xml:space="preserve"> </w:t>
      </w:r>
      <w:r>
        <w:rPr>
          <w:rStyle w:val="StringTok"/>
        </w:rPr>
        <w:t xml:space="preserve">"drop"</w:t>
      </w:r>
      <w:r>
        <w:rPr>
          <w:rStyle w:val="NormalTok"/>
        </w:rPr>
        <w:t xml:space="preserve">)</w:t>
      </w:r>
      <w:r>
        <w:br/>
      </w:r>
      <w:r>
        <w:br/>
      </w:r>
      <w:r>
        <w:rPr>
          <w:rStyle w:val="NormalTok"/>
        </w:rPr>
        <w:t xml:space="preserve">top_pas </w:t>
      </w:r>
      <w:r>
        <w:rPr>
          <w:rStyle w:val="OtherTok"/>
        </w:rPr>
        <w:t xml:space="preserve">&lt;-</w:t>
      </w:r>
      <w:r>
        <w:rPr>
          <w:rStyle w:val="NormalTok"/>
        </w:rPr>
        <w:t xml:space="preserve"> pa_gender </w:t>
      </w:r>
      <w:r>
        <w:rPr>
          <w:rStyle w:val="SpecialCharTok"/>
        </w:rPr>
        <w:t xml:space="preserve">%&gt;%</w:t>
      </w:r>
      <w:r>
        <w:br/>
      </w:r>
      <w:r>
        <w:rPr>
          <w:rStyle w:val="NormalTok"/>
        </w:rPr>
        <w:t xml:space="preserve">  </w:t>
      </w:r>
      <w:r>
        <w:rPr>
          <w:rStyle w:val="FunctionTok"/>
        </w:rPr>
        <w:t xml:space="preserve">group_by</w:t>
      </w:r>
      <w:r>
        <w:rPr>
          <w:rStyle w:val="NormalTok"/>
        </w:rPr>
        <w:t xml:space="preserve">(PA)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Total =</w:t>
      </w:r>
      <w:r>
        <w:rPr>
          <w:rStyle w:val="NormalTok"/>
        </w:rPr>
        <w:t xml:space="preserve"> </w:t>
      </w:r>
      <w:r>
        <w:rPr>
          <w:rStyle w:val="FunctionTok"/>
        </w:rPr>
        <w:t xml:space="preserve">sum</w:t>
      </w:r>
      <w:r>
        <w:rPr>
          <w:rStyle w:val="NormalTok"/>
        </w:rPr>
        <w:t xml:space="preserve">(Pop), </w:t>
      </w:r>
      <w:r>
        <w:rPr>
          <w:rStyle w:val="AttributeTok"/>
        </w:rPr>
        <w:t xml:space="preserve">.groups =</w:t>
      </w:r>
      <w:r>
        <w:rPr>
          <w:rStyle w:val="NormalTok"/>
        </w:rPr>
        <w:t xml:space="preserve"> </w:t>
      </w:r>
      <w:r>
        <w:rPr>
          <w:rStyle w:val="StringTok"/>
        </w:rPr>
        <w:t xml:space="preserve">"drop"</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(Total)) </w:t>
      </w:r>
      <w:r>
        <w:rPr>
          <w:rStyle w:val="SpecialCharTok"/>
        </w:rPr>
        <w:t xml:space="preserve">%&gt;%</w:t>
      </w:r>
      <w:r>
        <w:br/>
      </w:r>
      <w:r>
        <w:rPr>
          <w:rStyle w:val="NormalTok"/>
        </w:rPr>
        <w:t xml:space="preserve">  </w:t>
      </w:r>
      <w:r>
        <w:rPr>
          <w:rStyle w:val="FunctionTok"/>
        </w:rPr>
        <w:t xml:space="preserve">slice_head</w:t>
      </w:r>
      <w:r>
        <w:rPr>
          <w:rStyle w:val="NormalTok"/>
        </w:rPr>
        <w:t xml:space="preserve">(</w:t>
      </w:r>
      <w:r>
        <w:rPr>
          <w:rStyle w:val="AttributeTok"/>
        </w:rPr>
        <w:t xml:space="preserve">n =</w:t>
      </w:r>
      <w:r>
        <w:rPr>
          <w:rStyle w:val="NormalTok"/>
        </w:rPr>
        <w:t xml:space="preserve"> </w:t>
      </w:r>
      <w:r>
        <w:rPr>
          <w:rStyle w:val="DecValTok"/>
        </w:rPr>
        <w:t xml:space="preserve">10</w:t>
      </w:r>
      <w:r>
        <w:rPr>
          <w:rStyle w:val="NormalTok"/>
        </w:rPr>
        <w:t xml:space="preserve">) </w:t>
      </w:r>
      <w:r>
        <w:rPr>
          <w:rStyle w:val="SpecialCharTok"/>
        </w:rPr>
        <w:t xml:space="preserve">%&gt;%</w:t>
      </w:r>
      <w:r>
        <w:br/>
      </w:r>
      <w:r>
        <w:rPr>
          <w:rStyle w:val="NormalTok"/>
        </w:rPr>
        <w:t xml:space="preserve">  </w:t>
      </w:r>
      <w:r>
        <w:rPr>
          <w:rStyle w:val="FunctionTok"/>
        </w:rPr>
        <w:t xml:space="preserve">pull</w:t>
      </w:r>
      <w:r>
        <w:rPr>
          <w:rStyle w:val="NormalTok"/>
        </w:rPr>
        <w:t xml:space="preserve">(PA)</w:t>
      </w:r>
      <w:r>
        <w:br/>
      </w:r>
      <w:r>
        <w:br/>
      </w:r>
      <w:r>
        <w:rPr>
          <w:rStyle w:val="NormalTok"/>
        </w:rPr>
        <w:t xml:space="preserve">plot_data </w:t>
      </w:r>
      <w:r>
        <w:rPr>
          <w:rStyle w:val="OtherTok"/>
        </w:rPr>
        <w:t xml:space="preserve">&lt;-</w:t>
      </w:r>
      <w:r>
        <w:rPr>
          <w:rStyle w:val="NormalTok"/>
        </w:rPr>
        <w:t xml:space="preserve"> pa_gender </w:t>
      </w:r>
      <w:r>
        <w:rPr>
          <w:rStyle w:val="SpecialCharTok"/>
        </w:rPr>
        <w:t xml:space="preserve">%&gt;%</w:t>
      </w:r>
      <w:r>
        <w:br/>
      </w:r>
      <w:r>
        <w:rPr>
          <w:rStyle w:val="NormalTok"/>
        </w:rPr>
        <w:t xml:space="preserve">  </w:t>
      </w:r>
      <w:r>
        <w:rPr>
          <w:rStyle w:val="FunctionTok"/>
        </w:rPr>
        <w:t xml:space="preserve">filter</w:t>
      </w:r>
      <w:r>
        <w:rPr>
          <w:rStyle w:val="NormalTok"/>
        </w:rPr>
        <w:t xml:space="preserve">(PA </w:t>
      </w:r>
      <w:r>
        <w:rPr>
          <w:rStyle w:val="SpecialCharTok"/>
        </w:rPr>
        <w:t xml:space="preserve">%in%</w:t>
      </w:r>
      <w:r>
        <w:rPr>
          <w:rStyle w:val="NormalTok"/>
        </w:rPr>
        <w:t xml:space="preserve"> top_pas)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PA =</w:t>
      </w:r>
      <w:r>
        <w:rPr>
          <w:rStyle w:val="NormalTok"/>
        </w:rPr>
        <w:t xml:space="preserve"> </w:t>
      </w:r>
      <w:r>
        <w:rPr>
          <w:rStyle w:val="FunctionTok"/>
        </w:rPr>
        <w:t xml:space="preserve">fct_reorder</w:t>
      </w:r>
      <w:r>
        <w:rPr>
          <w:rStyle w:val="NormalTok"/>
        </w:rPr>
        <w:t xml:space="preserve">(PA, Pop, </w:t>
      </w:r>
      <w:r>
        <w:rPr>
          <w:rStyle w:val="AttributeTok"/>
        </w:rPr>
        <w:t xml:space="preserve">.fun =</w:t>
      </w:r>
      <w:r>
        <w:rPr>
          <w:rStyle w:val="NormalTok"/>
        </w:rPr>
        <w:t xml:space="preserve"> sum))</w:t>
      </w:r>
      <w:r>
        <w:br/>
      </w:r>
      <w:r>
        <w:br/>
      </w:r>
      <w:r>
        <w:br/>
      </w:r>
      <w:r>
        <w:rPr>
          <w:rStyle w:val="NormalTok"/>
        </w:rPr>
        <w:t xml:space="preserve">p_overall </w:t>
      </w:r>
      <w:r>
        <w:rPr>
          <w:rStyle w:val="OtherTok"/>
        </w:rPr>
        <w:t xml:space="preserve">&lt;-</w:t>
      </w:r>
      <w:r>
        <w:rPr>
          <w:rStyle w:val="NormalTok"/>
        </w:rPr>
        <w:t xml:space="preserve"> plot_data </w:t>
      </w:r>
      <w:r>
        <w:rPr>
          <w:rStyle w:val="SpecialCharTok"/>
        </w:rPr>
        <w:t xml:space="preserve">%&gt;%</w:t>
      </w:r>
      <w:r>
        <w:br/>
      </w:r>
      <w:r>
        <w:rPr>
          <w:rStyle w:val="NormalTok"/>
        </w:rPr>
        <w:t xml:space="preserve">  </w:t>
      </w:r>
      <w:r>
        <w:rPr>
          <w:rStyle w:val="FunctionTok"/>
        </w:rPr>
        <w:t xml:space="preserve">group_by</w:t>
      </w:r>
      <w:r>
        <w:rPr>
          <w:rStyle w:val="NormalTok"/>
        </w:rPr>
        <w:t xml:space="preserve">(PA)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Total =</w:t>
      </w:r>
      <w:r>
        <w:rPr>
          <w:rStyle w:val="NormalTok"/>
        </w:rPr>
        <w:t xml:space="preserve"> </w:t>
      </w:r>
      <w:r>
        <w:rPr>
          <w:rStyle w:val="FunctionTok"/>
        </w:rPr>
        <w:t xml:space="preserve">sum</w:t>
      </w:r>
      <w:r>
        <w:rPr>
          <w:rStyle w:val="NormalTok"/>
        </w:rPr>
        <w:t xml:space="preserve">(Pop), </w:t>
      </w:r>
      <w:r>
        <w:rPr>
          <w:rStyle w:val="AttributeTok"/>
        </w:rPr>
        <w:t xml:space="preserve">.groups =</w:t>
      </w:r>
      <w:r>
        <w:rPr>
          <w:rStyle w:val="NormalTok"/>
        </w:rPr>
        <w:t xml:space="preserve"> </w:t>
      </w:r>
      <w:r>
        <w:rPr>
          <w:rStyle w:val="StringTok"/>
        </w:rPr>
        <w:t xml:space="preserve">"drop"</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PA =</w:t>
      </w:r>
      <w:r>
        <w:rPr>
          <w:rStyle w:val="NormalTok"/>
        </w:rPr>
        <w:t xml:space="preserve"> </w:t>
      </w:r>
      <w:r>
        <w:rPr>
          <w:rStyle w:val="FunctionTok"/>
        </w:rPr>
        <w:t xml:space="preserve">fct_reorder</w:t>
      </w:r>
      <w:r>
        <w:rPr>
          <w:rStyle w:val="NormalTok"/>
        </w:rPr>
        <w:t xml:space="preserve">(PA, Total))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Total, </w:t>
      </w:r>
      <w:r>
        <w:rPr>
          <w:rStyle w:val="AttributeTok"/>
        </w:rPr>
        <w:t xml:space="preserve">y =</w:t>
      </w:r>
      <w:r>
        <w:rPr>
          <w:rStyle w:val="NormalTok"/>
        </w:rPr>
        <w:t xml:space="preserve"> PA))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fill =</w:t>
      </w:r>
      <w:r>
        <w:rPr>
          <w:rStyle w:val="NormalTok"/>
        </w:rPr>
        <w:t xml:space="preserve"> </w:t>
      </w:r>
      <w:r>
        <w:rPr>
          <w:rStyle w:val="StringTok"/>
        </w:rPr>
        <w:t xml:space="preserve">"gray60"</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comma</w:t>
      </w:r>
      <w:r>
        <w:rPr>
          <w:rStyle w:val="NormalTok"/>
        </w:rPr>
        <w:t xml:space="preserve">(Total)),</w:t>
      </w:r>
      <w:r>
        <w:br/>
      </w:r>
      <w:r>
        <w:rPr>
          <w:rStyle w:val="NormalTok"/>
        </w:rPr>
        <w:t xml:space="preserve">            </w:t>
      </w:r>
      <w:r>
        <w:rPr>
          <w:rStyle w:val="AttributeTok"/>
        </w:rPr>
        <w:t xml:space="preserve">hjust =</w:t>
      </w:r>
      <w:r>
        <w:rPr>
          <w:rStyle w:val="NormalTok"/>
        </w:rPr>
        <w:t xml:space="preserve"> </w:t>
      </w:r>
      <w:r>
        <w:rPr>
          <w:rStyle w:val="SpecialCharTok"/>
        </w:rPr>
        <w:t xml:space="preserve">-</w:t>
      </w:r>
      <w:r>
        <w:rPr>
          <w:rStyle w:val="FloatTok"/>
        </w:rPr>
        <w:t xml:space="preserve">0.1</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FloatTok"/>
        </w:rPr>
        <w:t xml:space="preserve">3.8</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comma,</w:t>
      </w:r>
      <w:r>
        <w:br/>
      </w:r>
      <w:r>
        <w:rPr>
          <w:rStyle w:val="NormalTok"/>
        </w:rPr>
        <w:t xml:space="preserve">                     </w:t>
      </w:r>
      <w:r>
        <w:rPr>
          <w:rStyle w:val="AttributeTok"/>
        </w:rPr>
        <w:t xml:space="preserve">expand =</w:t>
      </w:r>
      <w:r>
        <w:rPr>
          <w:rStyle w:val="NormalTok"/>
        </w:rPr>
        <w:t xml:space="preserve"> </w:t>
      </w:r>
      <w:r>
        <w:rPr>
          <w:rStyle w:val="FunctionTok"/>
        </w:rPr>
        <w:t xml:space="preserve">expansion</w:t>
      </w:r>
      <w:r>
        <w:rPr>
          <w:rStyle w:val="NormalTok"/>
        </w:rPr>
        <w:t xml:space="preserve">(</w:t>
      </w:r>
      <w:r>
        <w:rPr>
          <w:rStyle w:val="AttributeTok"/>
        </w:rPr>
        <w:t xml:space="preserve">mult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0.15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"Top 10 Planning Areas by Population (2024)"</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"Population count"</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ConstantTok"/>
        </w:rPr>
        <w:t xml:space="preserve">NULL</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13</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panel.grid.major.y =</w:t>
      </w:r>
      <w:r>
        <w:rPr>
          <w:rStyle w:val="NormalTok"/>
        </w:rPr>
        <w:t xml:space="preserve"> </w:t>
      </w:r>
      <w:r>
        <w:rPr>
          <w:rStyle w:val="FunctionTok"/>
        </w:rPr>
        <w:t xml:space="preserve">element_blank</w:t>
      </w:r>
      <w:r>
        <w:rPr>
          <w:rStyle w:val="NormalTok"/>
        </w:rPr>
        <w:t xml:space="preserve">())</w:t>
      </w:r>
      <w:r>
        <w:br/>
      </w:r>
      <w:r>
        <w:br/>
      </w:r>
      <w:r>
        <w:rPr>
          <w:rStyle w:val="FunctionTok"/>
        </w:rPr>
        <w:t xml:space="preserve">print</w:t>
      </w:r>
      <w:r>
        <w:rPr>
          <w:rStyle w:val="NormalTok"/>
        </w:rPr>
        <w:t xml:space="preserve">(p_overall)</w:t>
      </w:r>
    </w:p>
    <w:p>
      <w:pPr>
        <w:pStyle w:val="FirstParagraph"/>
      </w:pPr>
      <w:r>
        <w:drawing>
          <wp:inline>
            <wp:extent cx="4620126" cy="3696101"/>
            <wp:effectExtent b="0" l="0" r="0" t="0"/>
            <wp:docPr descr="" title="" id="40" name="Picture"/>
            <a:graphic>
              <a:graphicData uri="http://schemas.openxmlformats.org/drawingml/2006/picture">
                <pic:pic>
                  <pic:nvPicPr>
                    <pic:cNvPr descr="Take-home_Ex01_files/figure-docx/unnamed-chunk-6-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r>
        <w:t xml:space="preserve">Females</w:t>
      </w:r>
    </w:p>
    <w:p>
      <w:pPr>
        <w:pStyle w:val="SourceCode"/>
      </w:pPr>
      <w:r>
        <w:rPr>
          <w:rStyle w:val="NormalTok"/>
        </w:rPr>
        <w:t xml:space="preserve">plot_data </w:t>
      </w:r>
      <w:r>
        <w:rPr>
          <w:rStyle w:val="SpecialCharTok"/>
        </w:rPr>
        <w:t xml:space="preserve">%&gt;%</w:t>
      </w:r>
      <w:r>
        <w:br/>
      </w:r>
      <w:r>
        <w:rPr>
          <w:rStyle w:val="NormalTok"/>
        </w:rPr>
        <w:t xml:space="preserve">  </w:t>
      </w:r>
      <w:r>
        <w:rPr>
          <w:rStyle w:val="FunctionTok"/>
        </w:rPr>
        <w:t xml:space="preserve">filter</w:t>
      </w:r>
      <w:r>
        <w:rPr>
          <w:rStyle w:val="NormalTok"/>
        </w:rPr>
        <w:t xml:space="preserve">(Sex </w:t>
      </w:r>
      <w:r>
        <w:rPr>
          <w:rStyle w:val="SpecialCharTok"/>
        </w:rPr>
        <w:t xml:space="preserve">==</w:t>
      </w:r>
      <w:r>
        <w:rPr>
          <w:rStyle w:val="NormalTok"/>
        </w:rPr>
        <w:t xml:space="preserve"> </w:t>
      </w:r>
      <w:r>
        <w:rPr>
          <w:rStyle w:val="StringTok"/>
        </w:rPr>
        <w:t xml:space="preserve">"Females"</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Pop, </w:t>
      </w:r>
      <w:r>
        <w:rPr>
          <w:rStyle w:val="AttributeTok"/>
        </w:rPr>
        <w:t xml:space="preserve">y =</w:t>
      </w:r>
      <w:r>
        <w:rPr>
          <w:rStyle w:val="NormalTok"/>
        </w:rPr>
        <w:t xml:space="preserve"> PA))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fill =</w:t>
      </w:r>
      <w:r>
        <w:rPr>
          <w:rStyle w:val="NormalTok"/>
        </w:rPr>
        <w:t xml:space="preserve"> </w:t>
      </w:r>
      <w:r>
        <w:rPr>
          <w:rStyle w:val="StringTok"/>
        </w:rPr>
        <w:t xml:space="preserve">"#E6757A"</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comma</w:t>
      </w:r>
      <w:r>
        <w:rPr>
          <w:rStyle w:val="NormalTok"/>
        </w:rPr>
        <w:t xml:space="preserve">(Pop)),</w:t>
      </w:r>
      <w:r>
        <w:br/>
      </w:r>
      <w:r>
        <w:rPr>
          <w:rStyle w:val="NormalTok"/>
        </w:rPr>
        <w:t xml:space="preserve">            </w:t>
      </w:r>
      <w:r>
        <w:rPr>
          <w:rStyle w:val="AttributeTok"/>
        </w:rPr>
        <w:t xml:space="preserve">hjust =</w:t>
      </w:r>
      <w:r>
        <w:rPr>
          <w:rStyle w:val="NormalTok"/>
        </w:rPr>
        <w:t xml:space="preserve"> </w:t>
      </w:r>
      <w:r>
        <w:rPr>
          <w:rStyle w:val="SpecialCharTok"/>
        </w:rPr>
        <w:t xml:space="preserve">-</w:t>
      </w:r>
      <w:r>
        <w:rPr>
          <w:rStyle w:val="FloatTok"/>
        </w:rPr>
        <w:t xml:space="preserve">0.1</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FloatTok"/>
        </w:rPr>
        <w:t xml:space="preserve">3.5</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comma,</w:t>
      </w:r>
      <w:r>
        <w:br/>
      </w:r>
      <w:r>
        <w:rPr>
          <w:rStyle w:val="NormalTok"/>
        </w:rPr>
        <w:t xml:space="preserve">                     </w:t>
      </w:r>
      <w:r>
        <w:rPr>
          <w:rStyle w:val="AttributeTok"/>
        </w:rPr>
        <w:t xml:space="preserve">expand =</w:t>
      </w:r>
      <w:r>
        <w:rPr>
          <w:rStyle w:val="NormalTok"/>
        </w:rPr>
        <w:t xml:space="preserve"> </w:t>
      </w:r>
      <w:r>
        <w:rPr>
          <w:rStyle w:val="FunctionTok"/>
        </w:rPr>
        <w:t xml:space="preserve">expansion</w:t>
      </w:r>
      <w:r>
        <w:rPr>
          <w:rStyle w:val="NormalTok"/>
        </w:rPr>
        <w:t xml:space="preserve">(</w:t>
      </w:r>
      <w:r>
        <w:rPr>
          <w:rStyle w:val="AttributeTok"/>
        </w:rPr>
        <w:t xml:space="preserve">mult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0.15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"Female Population by Planning Area (2024)"</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"Population count"</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ConstantTok"/>
        </w:rPr>
        <w:t xml:space="preserve">NULL</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13</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panel.grid.major.y =</w:t>
      </w:r>
      <w:r>
        <w:rPr>
          <w:rStyle w:val="NormalTok"/>
        </w:rPr>
        <w:t xml:space="preserve"> </w:t>
      </w:r>
      <w:r>
        <w:rPr>
          <w:rStyle w:val="FunctionTok"/>
        </w:rPr>
        <w:t xml:space="preserve">element_blank</w:t>
      </w:r>
      <w:r>
        <w:rPr>
          <w:rStyle w:val="NormalTok"/>
        </w:rPr>
        <w:t xml:space="preserve">())</w:t>
      </w:r>
    </w:p>
    <w:p>
      <w:pPr>
        <w:pStyle w:val="FirstParagraph"/>
      </w:pPr>
      <w:r>
        <w:drawing>
          <wp:inline>
            <wp:extent cx="4620126" cy="3696101"/>
            <wp:effectExtent b="0" l="0" r="0" t="0"/>
            <wp:docPr descr="" title="" id="43" name="Picture"/>
            <a:graphic>
              <a:graphicData uri="http://schemas.openxmlformats.org/drawingml/2006/picture">
                <pic:pic>
                  <pic:nvPicPr>
                    <pic:cNvPr descr="Take-home_Ex01_files/figure-docx/unnamed-chunk-7-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r>
        <w:t xml:space="preserve">Males</w:t>
      </w:r>
    </w:p>
    <w:p>
      <w:pPr>
        <w:pStyle w:val="SourceCode"/>
      </w:pPr>
      <w:r>
        <w:rPr>
          <w:rStyle w:val="NormalTok"/>
        </w:rPr>
        <w:t xml:space="preserve">plot_data </w:t>
      </w:r>
      <w:r>
        <w:rPr>
          <w:rStyle w:val="SpecialCharTok"/>
        </w:rPr>
        <w:t xml:space="preserve">%&gt;%</w:t>
      </w:r>
      <w:r>
        <w:br/>
      </w:r>
      <w:r>
        <w:rPr>
          <w:rStyle w:val="NormalTok"/>
        </w:rPr>
        <w:t xml:space="preserve">  </w:t>
      </w:r>
      <w:r>
        <w:rPr>
          <w:rStyle w:val="FunctionTok"/>
        </w:rPr>
        <w:t xml:space="preserve">filter</w:t>
      </w:r>
      <w:r>
        <w:rPr>
          <w:rStyle w:val="NormalTok"/>
        </w:rPr>
        <w:t xml:space="preserve">(Sex </w:t>
      </w:r>
      <w:r>
        <w:rPr>
          <w:rStyle w:val="SpecialCharTok"/>
        </w:rPr>
        <w:t xml:space="preserve">==</w:t>
      </w:r>
      <w:r>
        <w:rPr>
          <w:rStyle w:val="NormalTok"/>
        </w:rPr>
        <w:t xml:space="preserve"> </w:t>
      </w:r>
      <w:r>
        <w:rPr>
          <w:rStyle w:val="StringTok"/>
        </w:rPr>
        <w:t xml:space="preserve">"Males"</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Pop, </w:t>
      </w:r>
      <w:r>
        <w:rPr>
          <w:rStyle w:val="AttributeTok"/>
        </w:rPr>
        <w:t xml:space="preserve">y =</w:t>
      </w:r>
      <w:r>
        <w:rPr>
          <w:rStyle w:val="NormalTok"/>
        </w:rPr>
        <w:t xml:space="preserve"> PA))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fill =</w:t>
      </w:r>
      <w:r>
        <w:rPr>
          <w:rStyle w:val="NormalTok"/>
        </w:rPr>
        <w:t xml:space="preserve"> </w:t>
      </w:r>
      <w:r>
        <w:rPr>
          <w:rStyle w:val="StringTok"/>
        </w:rPr>
        <w:t xml:space="preserve">"#75E6E1"</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comma</w:t>
      </w:r>
      <w:r>
        <w:rPr>
          <w:rStyle w:val="NormalTok"/>
        </w:rPr>
        <w:t xml:space="preserve">(Pop)),</w:t>
      </w:r>
      <w:r>
        <w:br/>
      </w:r>
      <w:r>
        <w:rPr>
          <w:rStyle w:val="NormalTok"/>
        </w:rPr>
        <w:t xml:space="preserve">          </w:t>
      </w:r>
      <w:r>
        <w:rPr>
          <w:rStyle w:val="AttributeTok"/>
        </w:rPr>
        <w:t xml:space="preserve">hjust =</w:t>
      </w:r>
      <w:r>
        <w:rPr>
          <w:rStyle w:val="NormalTok"/>
        </w:rPr>
        <w:t xml:space="preserve"> </w:t>
      </w:r>
      <w:r>
        <w:rPr>
          <w:rStyle w:val="SpecialCharTok"/>
        </w:rPr>
        <w:t xml:space="preserve">-</w:t>
      </w:r>
      <w:r>
        <w:rPr>
          <w:rStyle w:val="FloatTok"/>
        </w:rPr>
        <w:t xml:space="preserve">0.1</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FloatTok"/>
        </w:rPr>
        <w:t xml:space="preserve">3.5</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comma,</w:t>
      </w:r>
      <w:r>
        <w:br/>
      </w:r>
      <w:r>
        <w:rPr>
          <w:rStyle w:val="NormalTok"/>
        </w:rPr>
        <w:t xml:space="preserve">                     </w:t>
      </w:r>
      <w:r>
        <w:rPr>
          <w:rStyle w:val="AttributeTok"/>
        </w:rPr>
        <w:t xml:space="preserve">expand =</w:t>
      </w:r>
      <w:r>
        <w:rPr>
          <w:rStyle w:val="NormalTok"/>
        </w:rPr>
        <w:t xml:space="preserve"> </w:t>
      </w:r>
      <w:r>
        <w:rPr>
          <w:rStyle w:val="FunctionTok"/>
        </w:rPr>
        <w:t xml:space="preserve">expansion</w:t>
      </w:r>
      <w:r>
        <w:rPr>
          <w:rStyle w:val="NormalTok"/>
        </w:rPr>
        <w:t xml:space="preserve">(</w:t>
      </w:r>
      <w:r>
        <w:rPr>
          <w:rStyle w:val="AttributeTok"/>
        </w:rPr>
        <w:t xml:space="preserve">mult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0.15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"Male Population by Planning Area (2024)"</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"Population count"</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ConstantTok"/>
        </w:rPr>
        <w:t xml:space="preserve">NULL</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13</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panel.grid.major.y =</w:t>
      </w:r>
      <w:r>
        <w:rPr>
          <w:rStyle w:val="NormalTok"/>
        </w:rPr>
        <w:t xml:space="preserve"> </w:t>
      </w:r>
      <w:r>
        <w:rPr>
          <w:rStyle w:val="FunctionTok"/>
        </w:rPr>
        <w:t xml:space="preserve">element_blank</w:t>
      </w:r>
      <w:r>
        <w:rPr>
          <w:rStyle w:val="NormalTok"/>
        </w:rPr>
        <w:t xml:space="preserve">())</w:t>
      </w:r>
    </w:p>
    <w:p>
      <w:pPr>
        <w:pStyle w:val="FirstParagraph"/>
      </w:pPr>
      <w:r>
        <w:drawing>
          <wp:inline>
            <wp:extent cx="4620126" cy="3696101"/>
            <wp:effectExtent b="0" l="0" r="0" t="0"/>
            <wp:docPr descr="" title="" id="46" name="Picture"/>
            <a:graphic>
              <a:graphicData uri="http://schemas.openxmlformats.org/drawingml/2006/picture">
                <pic:pic>
                  <pic:nvPicPr>
                    <pic:cNvPr descr="Take-home_Ex01_files/figure-docx/unnamed-chunk-8-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bookmarkEnd w:id="48"/>
    <w:bookmarkStart w:id="49" w:name="insights"/>
    <w:p>
      <w:pPr>
        <w:pStyle w:val="Heading2"/>
      </w:pPr>
      <w:r>
        <w:t xml:space="preserve">Insights</w:t>
      </w:r>
    </w:p>
    <w:p>
      <w:pPr>
        <w:pStyle w:val="Compact"/>
        <w:numPr>
          <w:ilvl w:val="0"/>
          <w:numId w:val="1004"/>
        </w:numPr>
      </w:pPr>
      <w:r>
        <w:t xml:space="preserve">Tampines and Bedok are the most populous planning areas in 2024, each with nearly 280,000 residents, followed by Jurong West and Woodlands (~260,000–270,000).</w:t>
      </w:r>
    </w:p>
    <w:p>
      <w:pPr>
        <w:pStyle w:val="Compact"/>
        <w:numPr>
          <w:ilvl w:val="0"/>
          <w:numId w:val="1004"/>
        </w:numPr>
      </w:pPr>
      <w:r>
        <w:t xml:space="preserve">Across all top ten areas, female population slightly exceed male population, with the largest gender gap in Tampines (~10,000 more females).</w:t>
      </w:r>
    </w:p>
    <w:p>
      <w:pPr>
        <w:pStyle w:val="Compact"/>
        <w:numPr>
          <w:ilvl w:val="0"/>
          <w:numId w:val="1004"/>
        </w:numPr>
      </w:pPr>
      <w:r>
        <w:t xml:space="preserve">Younger towns like Punggol and Sengkang have narrower gender differences (~5,000–7,000), suggesting a more balanced household composition.</w:t>
      </w:r>
    </w:p>
    <w:p>
      <w:pPr>
        <w:pStyle w:val="Compact"/>
        <w:numPr>
          <w:ilvl w:val="0"/>
          <w:numId w:val="1004"/>
        </w:numPr>
      </w:pPr>
      <w:r>
        <w:t xml:space="preserve">Mature estates such as Tampines, Bedok, and Jurong West have both high population density and a modest female majority. This pattern may reflect long-term residential settlement trends, aging populations, or higher female longevity in mature estates.</w:t>
      </w:r>
    </w:p>
    <w:p>
      <w:pPr>
        <w:pStyle w:val="FirstParagraph"/>
      </w:pPr>
      <w:r>
        <w:rPr>
          <w:b/>
          <w:bCs/>
        </w:rPr>
        <w:t xml:space="preserve">Policy Implications</w:t>
      </w:r>
    </w:p>
    <w:p>
      <w:pPr>
        <w:pStyle w:val="Compact"/>
        <w:numPr>
          <w:ilvl w:val="0"/>
          <w:numId w:val="1005"/>
        </w:numPr>
      </w:pPr>
      <w:r>
        <w:t xml:space="preserve">Urban and social infrastructure planning should consider the female-majority population in Singapore’s most densely populated planning areas. This may signal the need for expanded services in healthcare, eldercare, childcare, and community safety, particularly in mature estates where female residents may be older or more likely to reside long-term.</w:t>
      </w:r>
      <w:r>
        <w:br/>
      </w:r>
    </w:p>
    <w:bookmarkEnd w:id="49"/>
    <w:bookmarkStart w:id="55" w:name="X539d23fb360a29f9e87775d7915995eda788966"/>
    <w:p>
      <w:pPr>
        <w:pStyle w:val="Heading2"/>
      </w:pPr>
      <w:r>
        <w:t xml:space="preserve">EDA 3: Comparing Top 8 Subzones(SZ) by Youth(21–35) vs. Elderly(65+) Populations</w:t>
      </w:r>
    </w:p>
    <w:p>
      <w:pPr>
        <w:pStyle w:val="FirstParagraph"/>
      </w:pPr>
      <w:r>
        <w:rPr>
          <w:i/>
          <w:iCs/>
        </w:rPr>
        <w:t xml:space="preserve">Glossary</w:t>
      </w:r>
      <w:r>
        <w:t xml:space="preserve">：</w:t>
      </w:r>
    </w:p>
    <w:p>
      <w:pPr>
        <w:pStyle w:val="BodyText"/>
      </w:pPr>
      <w:hyperlink r:id="rId50">
        <w:r>
          <w:rPr>
            <w:rStyle w:val="Hyperlink"/>
          </w:rPr>
          <w:t xml:space="preserve">Elderly</w:t>
        </w:r>
      </w:hyperlink>
      <w:r>
        <w:t xml:space="preserve"> </w:t>
      </w:r>
      <w:r>
        <w:t xml:space="preserve">:</w:t>
      </w:r>
      <w:r>
        <w:t xml:space="preserve">“</w:t>
      </w:r>
      <w:r>
        <w:t xml:space="preserve">Elderly people</w:t>
      </w:r>
      <w:r>
        <w:t xml:space="preserve">”</w:t>
      </w:r>
      <w:r>
        <w:t xml:space="preserve"> </w:t>
      </w:r>
      <w:r>
        <w:t xml:space="preserve">in Singapore are defined as individuals aged 65 years and above. This classification aligns with the Ministry of Health (MOH) and the Department of Statistics Singapore (DOS) standards. The age of 65 is significant as it corresponds with the official retirement age and is used in formulating public policies, healthcare planning, and social support programs aimed at the senior population.</w:t>
      </w:r>
    </w:p>
    <w:p>
      <w:pPr>
        <w:pStyle w:val="BodyText"/>
      </w:pPr>
      <w:hyperlink r:id="rId51">
        <w:r>
          <w:rPr>
            <w:rStyle w:val="Hyperlink"/>
          </w:rPr>
          <w:t xml:space="preserve">Youth</w:t>
        </w:r>
      </w:hyperlink>
      <w:r>
        <w:t xml:space="preserve"> </w:t>
      </w:r>
      <w:r>
        <w:t xml:space="preserve">:</w:t>
      </w:r>
      <w:r>
        <w:t xml:space="preserve">“</w:t>
      </w:r>
      <w:r>
        <w:t xml:space="preserve">Young people</w:t>
      </w:r>
      <w:r>
        <w:t xml:space="preserve">”</w:t>
      </w:r>
      <w:r>
        <w:t xml:space="preserve"> </w:t>
      </w:r>
      <w:r>
        <w:t xml:space="preserve">or</w:t>
      </w:r>
      <w:r>
        <w:t xml:space="preserve"> </w:t>
      </w:r>
      <w:r>
        <w:t xml:space="preserve">“</w:t>
      </w:r>
      <w:r>
        <w:t xml:space="preserve">youth</w:t>
      </w:r>
      <w:r>
        <w:t xml:space="preserve">”</w:t>
      </w:r>
      <w:r>
        <w:t xml:space="preserve"> </w:t>
      </w:r>
      <w:r>
        <w:t xml:space="preserve">are officially defined as individuals aged 15 to 35 years. This age range is established by the Ministry of Culture, Community and Youth (MCCY) to encompass the transitional phase from adolescence to adulthood, including secondary school students to young adults entering the workforce.</w:t>
      </w:r>
    </w:p>
    <w:p>
      <w:pPr>
        <w:pStyle w:val="SourceCode"/>
      </w:pPr>
      <w:r>
        <w:rPr>
          <w:rStyle w:val="NormalTok"/>
        </w:rPr>
        <w:t xml:space="preserve">youth_top5 </w:t>
      </w:r>
      <w:r>
        <w:rPr>
          <w:rStyle w:val="OtherTok"/>
        </w:rPr>
        <w:t xml:space="preserve">&lt;-</w:t>
      </w:r>
      <w:r>
        <w:rPr>
          <w:rStyle w:val="NormalTok"/>
        </w:rPr>
        <w:t xml:space="preserve"> population_age_sex_2024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AgeNum =</w:t>
      </w:r>
      <w:r>
        <w:rPr>
          <w:rStyle w:val="NormalTok"/>
        </w:rPr>
        <w:t xml:space="preserve"> </w:t>
      </w:r>
      <w:r>
        <w:rPr>
          <w:rStyle w:val="FunctionTok"/>
        </w:rPr>
        <w:t xml:space="preserve">as.numeric</w:t>
      </w:r>
      <w:r>
        <w:rPr>
          <w:rStyle w:val="NormalTok"/>
        </w:rPr>
        <w:t xml:space="preserve">(Age)) </w:t>
      </w:r>
      <w:r>
        <w:rPr>
          <w:rStyle w:val="SpecialCharTok"/>
        </w:rPr>
        <w:t xml:space="preserve">%&gt;%</w:t>
      </w:r>
      <w:r>
        <w:br/>
      </w:r>
      <w:r>
        <w:rPr>
          <w:rStyle w:val="NormalTok"/>
        </w:rPr>
        <w:t xml:space="preserve">  </w:t>
      </w:r>
      <w:r>
        <w:rPr>
          <w:rStyle w:val="FunctionTok"/>
        </w:rPr>
        <w:t xml:space="preserve">filter</w:t>
      </w:r>
      <w:r>
        <w:rPr>
          <w:rStyle w:val="NormalTok"/>
        </w:rPr>
        <w:t xml:space="preserve">(Time </w:t>
      </w:r>
      <w:r>
        <w:rPr>
          <w:rStyle w:val="SpecialCharTok"/>
        </w:rPr>
        <w:t xml:space="preserve">==</w:t>
      </w:r>
      <w:r>
        <w:rPr>
          <w:rStyle w:val="NormalTok"/>
        </w:rPr>
        <w:t xml:space="preserve"> </w:t>
      </w:r>
      <w:r>
        <w:rPr>
          <w:rStyle w:val="DecValTok"/>
        </w:rPr>
        <w:t xml:space="preserve">2024</w:t>
      </w:r>
      <w:r>
        <w:rPr>
          <w:rStyle w:val="NormalTok"/>
        </w:rPr>
        <w:t xml:space="preserve">, AgeNum </w:t>
      </w:r>
      <w:r>
        <w:rPr>
          <w:rStyle w:val="SpecialCharTok"/>
        </w:rPr>
        <w:t xml:space="preserve">&gt;=</w:t>
      </w:r>
      <w:r>
        <w:rPr>
          <w:rStyle w:val="NormalTok"/>
        </w:rPr>
        <w:t xml:space="preserve"> </w:t>
      </w:r>
      <w:r>
        <w:rPr>
          <w:rStyle w:val="DecValTok"/>
        </w:rPr>
        <w:t xml:space="preserve">15</w:t>
      </w:r>
      <w:r>
        <w:rPr>
          <w:rStyle w:val="NormalTok"/>
        </w:rPr>
        <w:t xml:space="preserve">, AgeNum </w:t>
      </w:r>
      <w:r>
        <w:rPr>
          <w:rStyle w:val="SpecialCharTok"/>
        </w:rPr>
        <w:t xml:space="preserve">&lt;=</w:t>
      </w:r>
      <w:r>
        <w:rPr>
          <w:rStyle w:val="NormalTok"/>
        </w:rPr>
        <w:t xml:space="preserve"> </w:t>
      </w:r>
      <w:r>
        <w:rPr>
          <w:rStyle w:val="DecValTok"/>
        </w:rPr>
        <w:t xml:space="preserve">35</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(SZ)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Pop =</w:t>
      </w:r>
      <w:r>
        <w:rPr>
          <w:rStyle w:val="NormalTok"/>
        </w:rPr>
        <w:t xml:space="preserve"> </w:t>
      </w:r>
      <w:r>
        <w:rPr>
          <w:rStyle w:val="FunctionTok"/>
        </w:rPr>
        <w:t xml:space="preserve">sum</w:t>
      </w:r>
      <w:r>
        <w:rPr>
          <w:rStyle w:val="NormalTok"/>
        </w:rPr>
        <w:t xml:space="preserve">(Pop), </w:t>
      </w:r>
      <w:r>
        <w:rPr>
          <w:rStyle w:val="AttributeTok"/>
        </w:rPr>
        <w:t xml:space="preserve">.groups =</w:t>
      </w:r>
      <w:r>
        <w:rPr>
          <w:rStyle w:val="NormalTok"/>
        </w:rPr>
        <w:t xml:space="preserve"> </w:t>
      </w:r>
      <w:r>
        <w:rPr>
          <w:rStyle w:val="StringTok"/>
        </w:rPr>
        <w:t xml:space="preserve">"drop"</w:t>
      </w:r>
      <w:r>
        <w:rPr>
          <w:rStyle w:val="NormalTok"/>
        </w:rPr>
        <w:t xml:space="preserve">) </w:t>
      </w:r>
      <w:r>
        <w:rPr>
          <w:rStyle w:val="SpecialCharTok"/>
        </w:rPr>
        <w:t xml:space="preserve">%&gt;%</w:t>
      </w:r>
      <w:r>
        <w:br/>
      </w:r>
      <w:r>
        <w:rPr>
          <w:rStyle w:val="NormalTok"/>
        </w:rPr>
        <w:t xml:space="preserve">  </w:t>
      </w:r>
      <w:r>
        <w:rPr>
          <w:rStyle w:val="FunctionTok"/>
        </w:rPr>
        <w:t xml:space="preserve">slice_max</w:t>
      </w:r>
      <w:r>
        <w:rPr>
          <w:rStyle w:val="NormalTok"/>
        </w:rPr>
        <w:t xml:space="preserve">(Pop, </w:t>
      </w:r>
      <w:r>
        <w:rPr>
          <w:rStyle w:val="AttributeTok"/>
        </w:rPr>
        <w:t xml:space="preserve">n =</w:t>
      </w:r>
      <w:r>
        <w:rPr>
          <w:rStyle w:val="NormalTok"/>
        </w:rPr>
        <w:t xml:space="preserve"> </w:t>
      </w:r>
      <w:r>
        <w:rPr>
          <w:rStyle w:val="DecValTok"/>
        </w:rPr>
        <w:t xml:space="preserve">8</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SZ =</w:t>
      </w:r>
      <w:r>
        <w:rPr>
          <w:rStyle w:val="NormalTok"/>
        </w:rPr>
        <w:t xml:space="preserve"> </w:t>
      </w:r>
      <w:r>
        <w:rPr>
          <w:rStyle w:val="FunctionTok"/>
        </w:rPr>
        <w:t xml:space="preserve">fct_reorder</w:t>
      </w:r>
      <w:r>
        <w:rPr>
          <w:rStyle w:val="NormalTok"/>
        </w:rPr>
        <w:t xml:space="preserve">(SZ, Pop))</w:t>
      </w:r>
      <w:r>
        <w:br/>
      </w:r>
      <w:r>
        <w:br/>
      </w:r>
      <w:r>
        <w:rPr>
          <w:rStyle w:val="NormalTok"/>
        </w:rPr>
        <w:t xml:space="preserve">elderly_top5 </w:t>
      </w:r>
      <w:r>
        <w:rPr>
          <w:rStyle w:val="OtherTok"/>
        </w:rPr>
        <w:t xml:space="preserve">&lt;-</w:t>
      </w:r>
      <w:r>
        <w:rPr>
          <w:rStyle w:val="NormalTok"/>
        </w:rPr>
        <w:t xml:space="preserve"> population_age_sex_2024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AgeNum =</w:t>
      </w:r>
      <w:r>
        <w:rPr>
          <w:rStyle w:val="NormalTok"/>
        </w:rPr>
        <w:t xml:space="preserve"> </w:t>
      </w:r>
      <w:r>
        <w:rPr>
          <w:rStyle w:val="FunctionTok"/>
        </w:rPr>
        <w:t xml:space="preserve">as.numeric</w:t>
      </w:r>
      <w:r>
        <w:rPr>
          <w:rStyle w:val="NormalTok"/>
        </w:rPr>
        <w:t xml:space="preserve">(Age)) </w:t>
      </w:r>
      <w:r>
        <w:rPr>
          <w:rStyle w:val="SpecialCharTok"/>
        </w:rPr>
        <w:t xml:space="preserve">%&gt;%</w:t>
      </w:r>
      <w:r>
        <w:br/>
      </w:r>
      <w:r>
        <w:rPr>
          <w:rStyle w:val="NormalTok"/>
        </w:rPr>
        <w:t xml:space="preserve">  </w:t>
      </w:r>
      <w:r>
        <w:rPr>
          <w:rStyle w:val="FunctionTok"/>
        </w:rPr>
        <w:t xml:space="preserve">filter</w:t>
      </w:r>
      <w:r>
        <w:rPr>
          <w:rStyle w:val="NormalTok"/>
        </w:rPr>
        <w:t xml:space="preserve">(Time </w:t>
      </w:r>
      <w:r>
        <w:rPr>
          <w:rStyle w:val="SpecialCharTok"/>
        </w:rPr>
        <w:t xml:space="preserve">==</w:t>
      </w:r>
      <w:r>
        <w:rPr>
          <w:rStyle w:val="NormalTok"/>
        </w:rPr>
        <w:t xml:space="preserve"> </w:t>
      </w:r>
      <w:r>
        <w:rPr>
          <w:rStyle w:val="DecValTok"/>
        </w:rPr>
        <w:t xml:space="preserve">2024</w:t>
      </w:r>
      <w:r>
        <w:rPr>
          <w:rStyle w:val="NormalTok"/>
        </w:rPr>
        <w:t xml:space="preserve">, AgeNum </w:t>
      </w:r>
      <w:r>
        <w:rPr>
          <w:rStyle w:val="SpecialCharTok"/>
        </w:rPr>
        <w:t xml:space="preserve">&gt;=</w:t>
      </w:r>
      <w:r>
        <w:rPr>
          <w:rStyle w:val="NormalTok"/>
        </w:rPr>
        <w:t xml:space="preserve"> </w:t>
      </w:r>
      <w:r>
        <w:rPr>
          <w:rStyle w:val="DecValTok"/>
        </w:rPr>
        <w:t xml:space="preserve">65</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(SZ)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Pop =</w:t>
      </w:r>
      <w:r>
        <w:rPr>
          <w:rStyle w:val="NormalTok"/>
        </w:rPr>
        <w:t xml:space="preserve"> </w:t>
      </w:r>
      <w:r>
        <w:rPr>
          <w:rStyle w:val="FunctionTok"/>
        </w:rPr>
        <w:t xml:space="preserve">sum</w:t>
      </w:r>
      <w:r>
        <w:rPr>
          <w:rStyle w:val="NormalTok"/>
        </w:rPr>
        <w:t xml:space="preserve">(Pop), </w:t>
      </w:r>
      <w:r>
        <w:rPr>
          <w:rStyle w:val="AttributeTok"/>
        </w:rPr>
        <w:t xml:space="preserve">.groups =</w:t>
      </w:r>
      <w:r>
        <w:rPr>
          <w:rStyle w:val="NormalTok"/>
        </w:rPr>
        <w:t xml:space="preserve"> </w:t>
      </w:r>
      <w:r>
        <w:rPr>
          <w:rStyle w:val="StringTok"/>
        </w:rPr>
        <w:t xml:space="preserve">"drop"</w:t>
      </w:r>
      <w:r>
        <w:rPr>
          <w:rStyle w:val="NormalTok"/>
        </w:rPr>
        <w:t xml:space="preserve">) </w:t>
      </w:r>
      <w:r>
        <w:rPr>
          <w:rStyle w:val="SpecialCharTok"/>
        </w:rPr>
        <w:t xml:space="preserve">%&gt;%</w:t>
      </w:r>
      <w:r>
        <w:br/>
      </w:r>
      <w:r>
        <w:rPr>
          <w:rStyle w:val="NormalTok"/>
        </w:rPr>
        <w:t xml:space="preserve">  </w:t>
      </w:r>
      <w:r>
        <w:rPr>
          <w:rStyle w:val="FunctionTok"/>
        </w:rPr>
        <w:t xml:space="preserve">slice_max</w:t>
      </w:r>
      <w:r>
        <w:rPr>
          <w:rStyle w:val="NormalTok"/>
        </w:rPr>
        <w:t xml:space="preserve">(Pop, </w:t>
      </w:r>
      <w:r>
        <w:rPr>
          <w:rStyle w:val="AttributeTok"/>
        </w:rPr>
        <w:t xml:space="preserve">n =</w:t>
      </w:r>
      <w:r>
        <w:rPr>
          <w:rStyle w:val="NormalTok"/>
        </w:rPr>
        <w:t xml:space="preserve"> </w:t>
      </w:r>
      <w:r>
        <w:rPr>
          <w:rStyle w:val="DecValTok"/>
        </w:rPr>
        <w:t xml:space="preserve">8</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SZ =</w:t>
      </w:r>
      <w:r>
        <w:rPr>
          <w:rStyle w:val="NormalTok"/>
        </w:rPr>
        <w:t xml:space="preserve"> </w:t>
      </w:r>
      <w:r>
        <w:rPr>
          <w:rStyle w:val="FunctionTok"/>
        </w:rPr>
        <w:t xml:space="preserve">fct_reorder</w:t>
      </w:r>
      <w:r>
        <w:rPr>
          <w:rStyle w:val="NormalTok"/>
        </w:rPr>
        <w:t xml:space="preserve">(SZ, Pop))</w:t>
      </w:r>
      <w:r>
        <w:br/>
      </w:r>
      <w:r>
        <w:br/>
      </w:r>
      <w:r>
        <w:rPr>
          <w:rStyle w:val="CommentTok"/>
        </w:rPr>
        <w:t xml:space="preserve"># Plot : Youth </w:t>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(youth_top5, </w:t>
      </w:r>
      <w:r>
        <w:rPr>
          <w:rStyle w:val="FunctionTok"/>
        </w:rPr>
        <w:t xml:space="preserve">aes</w:t>
      </w:r>
      <w:r>
        <w:rPr>
          <w:rStyle w:val="NormalTok"/>
        </w:rPr>
        <w:t xml:space="preserve">(</w:t>
      </w:r>
      <w:r>
        <w:rPr>
          <w:rStyle w:val="AttributeTok"/>
        </w:rPr>
        <w:t xml:space="preserve">x =</w:t>
      </w:r>
      <w:r>
        <w:rPr>
          <w:rStyle w:val="NormalTok"/>
        </w:rPr>
        <w:t xml:space="preserve"> SZ, </w:t>
      </w:r>
      <w:r>
        <w:rPr>
          <w:rStyle w:val="AttributeTok"/>
        </w:rPr>
        <w:t xml:space="preserve">y =</w:t>
      </w:r>
      <w:r>
        <w:rPr>
          <w:rStyle w:val="NormalTok"/>
        </w:rPr>
        <w:t xml:space="preserve"> Pop))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fill =</w:t>
      </w:r>
      <w:r>
        <w:rPr>
          <w:rStyle w:val="NormalTok"/>
        </w:rPr>
        <w:t xml:space="preserve"> </w:t>
      </w:r>
      <w:r>
        <w:rPr>
          <w:rStyle w:val="StringTok"/>
        </w:rPr>
        <w:t xml:space="preserve">"#66B2FF"</w:t>
      </w:r>
      <w:r>
        <w:rPr>
          <w:rStyle w:val="NormalTok"/>
        </w:rPr>
        <w:t xml:space="preserve">, </w:t>
      </w:r>
      <w:r>
        <w:rPr>
          <w:rStyle w:val="AttributeTok"/>
        </w:rPr>
        <w:t xml:space="preserve">width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comma</w:t>
      </w:r>
      <w:r>
        <w:rPr>
          <w:rStyle w:val="NormalTok"/>
        </w:rPr>
        <w:t xml:space="preserve">(Pop)), </w:t>
      </w:r>
      <w:r>
        <w:rPr>
          <w:rStyle w:val="AttributeTok"/>
        </w:rPr>
        <w:t xml:space="preserve">hjust =</w:t>
      </w:r>
      <w:r>
        <w:rPr>
          <w:rStyle w:val="NormalTok"/>
        </w:rPr>
        <w:t xml:space="preserve"> </w:t>
      </w:r>
      <w:r>
        <w:rPr>
          <w:rStyle w:val="SpecialCharTok"/>
        </w:rPr>
        <w:t xml:space="preserve">-</w:t>
      </w:r>
      <w:r>
        <w:rPr>
          <w:rStyle w:val="FloatTok"/>
        </w:rPr>
        <w:t xml:space="preserve">0.1</w:t>
      </w:r>
      <w:r>
        <w:rPr>
          <w:rStyle w:val="NormalTok"/>
        </w:rPr>
        <w:t xml:space="preserve">, </w:t>
      </w:r>
      <w:r>
        <w:rPr>
          <w:rStyle w:val="AttributeTok"/>
        </w:rPr>
        <w:t xml:space="preserve">size =</w:t>
      </w:r>
      <w:r>
        <w:rPr>
          <w:rStyle w:val="NormalTok"/>
        </w:rPr>
        <w:t xml:space="preserve"> </w:t>
      </w:r>
      <w:r>
        <w:rPr>
          <w:rStyle w:val="FloatTok"/>
        </w:rPr>
        <w:t xml:space="preserve">3.5</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comma, </w:t>
      </w:r>
      <w:r>
        <w:rPr>
          <w:rStyle w:val="AttributeTok"/>
        </w:rPr>
        <w:t xml:space="preserve">expand =</w:t>
      </w:r>
      <w:r>
        <w:rPr>
          <w:rStyle w:val="NormalTok"/>
        </w:rPr>
        <w:t xml:space="preserve"> </w:t>
      </w:r>
      <w:r>
        <w:rPr>
          <w:rStyle w:val="FunctionTok"/>
        </w:rPr>
        <w:t xml:space="preserve">expansion</w:t>
      </w:r>
      <w:r>
        <w:rPr>
          <w:rStyle w:val="NormalTok"/>
        </w:rPr>
        <w:t xml:space="preserve">(</w:t>
      </w:r>
      <w:r>
        <w:rPr>
          <w:rStyle w:val="AttributeTok"/>
        </w:rPr>
        <w:t xml:space="preserve">mult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0.3</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"Top 8 Subzones: Youth (Age 21–35)"</w:t>
      </w:r>
      <w:r>
        <w:rPr>
          <w:rStyle w:val="NormalTok"/>
        </w:rPr>
        <w:t xml:space="preserve">, </w:t>
      </w:r>
      <w:r>
        <w:rPr>
          <w:rStyle w:val="AttributeTok"/>
        </w:rPr>
        <w:t xml:space="preserve">x =</w:t>
      </w:r>
      <w:r>
        <w:rPr>
          <w:rStyle w:val="NormalTok"/>
        </w:rPr>
        <w:t xml:space="preserve"> </w:t>
      </w:r>
      <w:r>
        <w:rPr>
          <w:rStyle w:val="ConstantTok"/>
        </w:rPr>
        <w:t xml:space="preserve">NULL</w:t>
      </w:r>
      <w:r>
        <w:rPr>
          <w:rStyle w:val="NormalTok"/>
        </w:rPr>
        <w:t xml:space="preserve">, </w:t>
      </w:r>
      <w:r>
        <w:rPr>
          <w:rStyle w:val="AttributeTok"/>
        </w:rPr>
        <w:t xml:space="preserve">y =</w:t>
      </w:r>
      <w:r>
        <w:rPr>
          <w:rStyle w:val="NormalTok"/>
        </w:rPr>
        <w:t xml:space="preserve"> </w:t>
      </w:r>
      <w:r>
        <w:rPr>
          <w:rStyle w:val="StringTok"/>
        </w:rPr>
        <w:t xml:space="preserve">"Population"</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10</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panel.grid.major.y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br/>
      </w:r>
      <w:r>
        <w:br/>
      </w:r>
      <w:r>
        <w:rPr>
          <w:rStyle w:val="CommentTok"/>
        </w:rPr>
        <w:t xml:space="preserve"># Plot : Elderly</w:t>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(elderly_top5, </w:t>
      </w:r>
      <w:r>
        <w:rPr>
          <w:rStyle w:val="FunctionTok"/>
        </w:rPr>
        <w:t xml:space="preserve">aes</w:t>
      </w:r>
      <w:r>
        <w:rPr>
          <w:rStyle w:val="NormalTok"/>
        </w:rPr>
        <w:t xml:space="preserve">(</w:t>
      </w:r>
      <w:r>
        <w:rPr>
          <w:rStyle w:val="AttributeTok"/>
        </w:rPr>
        <w:t xml:space="preserve">x =</w:t>
      </w:r>
      <w:r>
        <w:rPr>
          <w:rStyle w:val="NormalTok"/>
        </w:rPr>
        <w:t xml:space="preserve"> SZ, </w:t>
      </w:r>
      <w:r>
        <w:rPr>
          <w:rStyle w:val="AttributeTok"/>
        </w:rPr>
        <w:t xml:space="preserve">y =</w:t>
      </w:r>
      <w:r>
        <w:rPr>
          <w:rStyle w:val="NormalTok"/>
        </w:rPr>
        <w:t xml:space="preserve"> Pop))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fill =</w:t>
      </w:r>
      <w:r>
        <w:rPr>
          <w:rStyle w:val="NormalTok"/>
        </w:rPr>
        <w:t xml:space="preserve"> </w:t>
      </w:r>
      <w:r>
        <w:rPr>
          <w:rStyle w:val="StringTok"/>
        </w:rPr>
        <w:t xml:space="preserve">"#1E78B4"</w:t>
      </w:r>
      <w:r>
        <w:rPr>
          <w:rStyle w:val="NormalTok"/>
        </w:rPr>
        <w:t xml:space="preserve">, </w:t>
      </w:r>
      <w:r>
        <w:rPr>
          <w:rStyle w:val="AttributeTok"/>
        </w:rPr>
        <w:t xml:space="preserve">width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comma</w:t>
      </w:r>
      <w:r>
        <w:rPr>
          <w:rStyle w:val="NormalTok"/>
        </w:rPr>
        <w:t xml:space="preserve">(Pop)), </w:t>
      </w:r>
      <w:r>
        <w:rPr>
          <w:rStyle w:val="AttributeTok"/>
        </w:rPr>
        <w:t xml:space="preserve">hjust =</w:t>
      </w:r>
      <w:r>
        <w:rPr>
          <w:rStyle w:val="NormalTok"/>
        </w:rPr>
        <w:t xml:space="preserve"> </w:t>
      </w:r>
      <w:r>
        <w:rPr>
          <w:rStyle w:val="SpecialCharTok"/>
        </w:rPr>
        <w:t xml:space="preserve">-</w:t>
      </w:r>
      <w:r>
        <w:rPr>
          <w:rStyle w:val="FloatTok"/>
        </w:rPr>
        <w:t xml:space="preserve">0.1</w:t>
      </w:r>
      <w:r>
        <w:rPr>
          <w:rStyle w:val="NormalTok"/>
        </w:rPr>
        <w:t xml:space="preserve">, </w:t>
      </w:r>
      <w:r>
        <w:rPr>
          <w:rStyle w:val="AttributeTok"/>
        </w:rPr>
        <w:t xml:space="preserve">size =</w:t>
      </w:r>
      <w:r>
        <w:rPr>
          <w:rStyle w:val="NormalTok"/>
        </w:rPr>
        <w:t xml:space="preserve"> </w:t>
      </w:r>
      <w:r>
        <w:rPr>
          <w:rStyle w:val="FloatTok"/>
        </w:rPr>
        <w:t xml:space="preserve">3.5</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comma, </w:t>
      </w:r>
      <w:r>
        <w:rPr>
          <w:rStyle w:val="AttributeTok"/>
        </w:rPr>
        <w:t xml:space="preserve">expand =</w:t>
      </w:r>
      <w:r>
        <w:rPr>
          <w:rStyle w:val="NormalTok"/>
        </w:rPr>
        <w:t xml:space="preserve"> </w:t>
      </w:r>
      <w:r>
        <w:rPr>
          <w:rStyle w:val="FunctionTok"/>
        </w:rPr>
        <w:t xml:space="preserve">expansion</w:t>
      </w:r>
      <w:r>
        <w:rPr>
          <w:rStyle w:val="NormalTok"/>
        </w:rPr>
        <w:t xml:space="preserve">(</w:t>
      </w:r>
      <w:r>
        <w:rPr>
          <w:rStyle w:val="AttributeTok"/>
        </w:rPr>
        <w:t xml:space="preserve">mult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0.3</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"Top 8 Subzones: Elderly (Age 65+)"</w:t>
      </w:r>
      <w:r>
        <w:rPr>
          <w:rStyle w:val="NormalTok"/>
        </w:rPr>
        <w:t xml:space="preserve">, </w:t>
      </w:r>
      <w:r>
        <w:rPr>
          <w:rStyle w:val="AttributeTok"/>
        </w:rPr>
        <w:t xml:space="preserve">x =</w:t>
      </w:r>
      <w:r>
        <w:rPr>
          <w:rStyle w:val="NormalTok"/>
        </w:rPr>
        <w:t xml:space="preserve"> </w:t>
      </w:r>
      <w:r>
        <w:rPr>
          <w:rStyle w:val="ConstantTok"/>
        </w:rPr>
        <w:t xml:space="preserve">NULL</w:t>
      </w:r>
      <w:r>
        <w:rPr>
          <w:rStyle w:val="NormalTok"/>
        </w:rPr>
        <w:t xml:space="preserve">, </w:t>
      </w:r>
      <w:r>
        <w:rPr>
          <w:rStyle w:val="AttributeTok"/>
        </w:rPr>
        <w:t xml:space="preserve">y =</w:t>
      </w:r>
      <w:r>
        <w:rPr>
          <w:rStyle w:val="NormalTok"/>
        </w:rPr>
        <w:t xml:space="preserve"> </w:t>
      </w:r>
      <w:r>
        <w:rPr>
          <w:rStyle w:val="StringTok"/>
        </w:rPr>
        <w:t xml:space="preserve">"Population"</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10</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panel.grid.major.y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br/>
      </w:r>
      <w:r>
        <w:br/>
      </w:r>
      <w:r>
        <w:rPr>
          <w:rStyle w:val="NormalTok"/>
        </w:rPr>
        <w:t xml:space="preserve">p1 </w:t>
      </w:r>
      <w:r>
        <w:rPr>
          <w:rStyle w:val="SpecialCharTok"/>
        </w:rPr>
        <w:t xml:space="preserve">+</w:t>
      </w:r>
      <w:r>
        <w:rPr>
          <w:rStyle w:val="NormalTok"/>
        </w:rPr>
        <w:t xml:space="preserve"> p2 </w:t>
      </w:r>
      <w:r>
        <w:rPr>
          <w:rStyle w:val="SpecialCharTok"/>
        </w:rPr>
        <w:t xml:space="preserve">+</w:t>
      </w:r>
      <w:r>
        <w:rPr>
          <w:rStyle w:val="NormalTok"/>
        </w:rPr>
        <w:t xml:space="preserve"> </w:t>
      </w:r>
      <w:r>
        <w:br/>
      </w:r>
      <w:r>
        <w:rPr>
          <w:rStyle w:val="NormalTok"/>
        </w:rPr>
        <w:t xml:space="preserve">  </w:t>
      </w:r>
      <w:r>
        <w:rPr>
          <w:rStyle w:val="FunctionTok"/>
        </w:rPr>
        <w:t xml:space="preserve">plot_layout</w:t>
      </w:r>
      <w:r>
        <w:rPr>
          <w:rStyle w:val="NormalTok"/>
        </w:rPr>
        <w:t xml:space="preserve">(</w:t>
      </w:r>
      <w:r>
        <w:rPr>
          <w:rStyle w:val="AttributeTok"/>
        </w:rPr>
        <w:t xml:space="preserve">ncol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plot_annotation</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"Comparison of Top 8 Subzones: Youth vs. Elderly (2024)"</w:t>
      </w:r>
      <w:r>
        <w:rPr>
          <w:rStyle w:val="NormalTok"/>
        </w:rPr>
        <w:t xml:space="preserve">,</w:t>
      </w:r>
      <w:r>
        <w:br/>
      </w:r>
      <w:r>
        <w:rPr>
          <w:rStyle w:val="NormalTok"/>
        </w:rPr>
        <w:t xml:space="preserve">    </w:t>
      </w:r>
      <w:r>
        <w:rPr>
          <w:rStyle w:val="AttributeTok"/>
        </w:rPr>
        <w:t xml:space="preserve">theme =</w:t>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15</w:t>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p>
    <w:p>
      <w:pPr>
        <w:pStyle w:val="FirstParagraph"/>
      </w:pPr>
      <w:r>
        <w:drawing>
          <wp:inline>
            <wp:extent cx="4620126" cy="3696101"/>
            <wp:effectExtent b="0" l="0" r="0" t="0"/>
            <wp:docPr descr="" title="" id="53" name="Picture"/>
            <a:graphic>
              <a:graphicData uri="http://schemas.openxmlformats.org/drawingml/2006/picture">
                <pic:pic>
                  <pic:nvPicPr>
                    <pic:cNvPr descr="Take-home_Ex01_files/figure-docx/unnamed-chunk-9-1.png" id="54"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bookmarkEnd w:id="55"/>
    <w:bookmarkStart w:id="56" w:name="insights-1"/>
    <w:p>
      <w:pPr>
        <w:pStyle w:val="Heading2"/>
      </w:pPr>
      <w:r>
        <w:t xml:space="preserve">Insights</w:t>
      </w:r>
    </w:p>
    <w:p>
      <w:pPr>
        <w:pStyle w:val="Compact"/>
        <w:numPr>
          <w:ilvl w:val="0"/>
          <w:numId w:val="1006"/>
        </w:numPr>
      </w:pPr>
      <w:r>
        <w:t xml:space="preserve">Tampines East appears prominently in both the youth (21–35) and elderly (65+) groups, indicating a multi-generational community with diverse service needs.</w:t>
      </w:r>
    </w:p>
    <w:p>
      <w:pPr>
        <w:pStyle w:val="Compact"/>
        <w:numPr>
          <w:ilvl w:val="0"/>
          <w:numId w:val="1006"/>
        </w:numPr>
      </w:pPr>
      <w:r>
        <w:t xml:space="preserve">Tampines West also ranks in the top 8 for both age groups, suggesting it is a mature subzone with a stable resident base across life stages.</w:t>
      </w:r>
    </w:p>
    <w:p>
      <w:pPr>
        <w:pStyle w:val="Compact"/>
        <w:numPr>
          <w:ilvl w:val="0"/>
          <w:numId w:val="1006"/>
        </w:numPr>
      </w:pPr>
      <w:r>
        <w:t xml:space="preserve">Woodlands East and Yishun East are key hubs for younger adults, likely due to affordable housing.</w:t>
      </w:r>
    </w:p>
    <w:p>
      <w:pPr>
        <w:pStyle w:val="Compact"/>
        <w:numPr>
          <w:ilvl w:val="0"/>
          <w:numId w:val="1006"/>
        </w:numPr>
      </w:pPr>
      <w:r>
        <w:t xml:space="preserve">Bedok North and Bedok South stand out for their large elderly populations, consistent with Bedok’s status as an older, well-established residential area.</w:t>
      </w:r>
    </w:p>
    <w:p>
      <w:pPr>
        <w:pStyle w:val="Compact"/>
        <w:numPr>
          <w:ilvl w:val="0"/>
          <w:numId w:val="1006"/>
        </w:numPr>
      </w:pPr>
      <w:r>
        <w:t xml:space="preserve">Yunnan appears in both groups, suggesting it may be transitioning demographically or has a balanced resident profile。</w:t>
      </w:r>
    </w:p>
    <w:p>
      <w:pPr>
        <w:pStyle w:val="FirstParagraph"/>
      </w:pPr>
      <w:r>
        <w:rPr>
          <w:b/>
          <w:bCs/>
        </w:rPr>
        <w:t xml:space="preserve">Political Implications</w:t>
      </w:r>
    </w:p>
    <w:p>
      <w:pPr>
        <w:pStyle w:val="Compact"/>
        <w:numPr>
          <w:ilvl w:val="0"/>
          <w:numId w:val="1007"/>
        </w:numPr>
      </w:pPr>
      <w:r>
        <w:t xml:space="preserve">These spatial patterns pinpoint where to prioritize youth services (childcare, schools) versus elder care resources (healthcare, senior centers).</w:t>
      </w:r>
    </w:p>
    <w:bookmarkEnd w:id="56"/>
    <w:bookmarkStart w:id="57" w:name="summary-conclusion"/>
    <w:p>
      <w:pPr>
        <w:pStyle w:val="Heading2"/>
      </w:pPr>
      <w:r>
        <w:t xml:space="preserve">Summary &amp; Conclusion</w:t>
      </w:r>
    </w:p>
    <w:p>
      <w:pPr>
        <w:pStyle w:val="FirstParagraph"/>
      </w:pPr>
      <w:r>
        <w:t xml:space="preserve">This analysis examined the distribution of youth (ages 21–35) and elderly (65+) populations across Singapore’s subzones in 2024. The findings highlight distinct demographic patterns that have implications for urban planning and community services.</w:t>
      </w:r>
    </w:p>
    <w:p>
      <w:pPr>
        <w:pStyle w:val="BodyText"/>
      </w:pPr>
      <w:r>
        <w:rPr>
          <w:b/>
          <w:bCs/>
        </w:rPr>
        <w:t xml:space="preserve">Key Observations:</w:t>
      </w:r>
    </w:p>
    <w:p>
      <w:pPr>
        <w:numPr>
          <w:ilvl w:val="0"/>
          <w:numId w:val="1008"/>
        </w:numPr>
      </w:pPr>
      <w:r>
        <w:t xml:space="preserve">Tampines East emerges as a significant multi-generational hub, with the highest numbers in both youth and elderly populations. This suggests a need for diverse amenities catering to a broad age range.</w:t>
      </w:r>
    </w:p>
    <w:p>
      <w:pPr>
        <w:numPr>
          <w:ilvl w:val="0"/>
          <w:numId w:val="1008"/>
        </w:numPr>
      </w:pPr>
      <w:r>
        <w:t xml:space="preserve">Tampines West also features prominently in both age groups, indicating its role as a stable residential area with a balanced demographic.</w:t>
      </w:r>
    </w:p>
    <w:p>
      <w:pPr>
        <w:numPr>
          <w:ilvl w:val="0"/>
          <w:numId w:val="1008"/>
        </w:numPr>
      </w:pPr>
      <w:r>
        <w:t xml:space="preserve">Woodlands East and Yishun East have substantial youth populations, possibly due to affordable housing options and proximity to educational institutions.</w:t>
      </w:r>
    </w:p>
    <w:p>
      <w:pPr>
        <w:numPr>
          <w:ilvl w:val="0"/>
          <w:numId w:val="1008"/>
        </w:numPr>
      </w:pPr>
      <w:r>
        <w:t xml:space="preserve">Bedok North and Bedok South show a higher concentration of elderly residents, reflecting the area’s status as a mature estate with long-term inhabitants.</w:t>
      </w:r>
    </w:p>
    <w:p>
      <w:pPr>
        <w:numPr>
          <w:ilvl w:val="0"/>
          <w:numId w:val="1008"/>
        </w:numPr>
      </w:pPr>
      <w:r>
        <w:t xml:space="preserve">Yunnan presents a balanced demographic profile, appearing in the top rankings for both youth and elderly populations, which may indicate a transitional community or diverse housing developments.</w:t>
      </w:r>
    </w:p>
    <w:p>
      <w:pPr>
        <w:pStyle w:val="FirstParagraph"/>
      </w:pPr>
      <w:r>
        <w:rPr>
          <w:b/>
          <w:bCs/>
        </w:rPr>
        <w:t xml:space="preserve">Implications:</w:t>
      </w:r>
    </w:p>
    <w:p>
      <w:pPr>
        <w:pStyle w:val="BodyText"/>
      </w:pPr>
      <w:r>
        <w:t xml:space="preserve">Understanding these demographic distributions is crucial for policymakers and urban planners. Areas with significant elderly populations may require enhanced healthcare services and age-friendly infrastructure, while regions with a higher youth concentration might benefit from employment opportunities and recreational facilities. Recognizing multi-generational communities like Tampines East can inform the development of inclusive programs that address the needs of all age groups.</w:t>
      </w:r>
    </w:p>
    <w:p>
      <w:pPr>
        <w:pStyle w:val="BodyText"/>
      </w:pPr>
      <w:r>
        <w:rPr>
          <w:b/>
          <w:bCs/>
        </w:rPr>
        <w:t xml:space="preserve">Recommendations for Future Research</w:t>
      </w:r>
    </w:p>
    <w:p>
      <w:pPr>
        <w:numPr>
          <w:ilvl w:val="0"/>
          <w:numId w:val="1009"/>
        </w:numPr>
      </w:pPr>
      <w:r>
        <w:t xml:space="preserve">Longitudinal Demographic Shifts: Future studies could track changes in subzone age distributions over multiple census years to identify aging or rejuvenating neighbourhoods and forecast service needs.</w:t>
      </w:r>
    </w:p>
    <w:p>
      <w:pPr>
        <w:numPr>
          <w:ilvl w:val="0"/>
          <w:numId w:val="1009"/>
        </w:numPr>
      </w:pPr>
      <w:r>
        <w:t xml:space="preserve">Migration and Mobility Patterns: Investigate how internal migration (e.g., young families moving into Yishun or Woodlands) or aging-in-place trends (as seen in Bedok) influence the demographic composition.</w:t>
      </w:r>
    </w:p>
    <w:p>
      <w:pPr>
        <w:numPr>
          <w:ilvl w:val="0"/>
          <w:numId w:val="1009"/>
        </w:numPr>
      </w:pPr>
      <w:r>
        <w:t xml:space="preserve">Facility and Service Availability: Analyze how the presence of amenities (e.g., eldercare, childcare, transport access) correlates with population age groups across subzones to inform infrastructure planning.</w:t>
      </w:r>
    </w:p>
    <w:p>
      <w:pPr>
        <w:numPr>
          <w:ilvl w:val="0"/>
          <w:numId w:val="1009"/>
        </w:numPr>
      </w:pPr>
      <w:r>
        <w:t xml:space="preserve">Housing Typologies and Affordability: Study how different housing types (BTOs, resale flats, rental units) affect youth versus elderly distributions, especially in transitional areas like Yunnan.</w:t>
      </w:r>
    </w:p>
    <w:p>
      <w:pPr>
        <w:numPr>
          <w:ilvl w:val="0"/>
          <w:numId w:val="1009"/>
        </w:numPr>
      </w:pPr>
      <w:r>
        <w:t xml:space="preserve">Social Integration in Multi-Generational Zones: Explore how intergenerational communities (e.g., Tampines East) navigate social cohesion, shared space usage, and policy responsiveness.</w:t>
      </w:r>
    </w:p>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52" Target="media/rId52.png" /><Relationship Type="http://schemas.openxmlformats.org/officeDocument/2006/relationships/image" Id="rId23" Target="media/rId23.png" /><Relationship Type="http://schemas.openxmlformats.org/officeDocument/2006/relationships/hyperlink" Id="rId51" Target="https://www.mccy.gov.sg/sector/youth#:~:text=In%20Singapore%2C%20youths%20are%20defined,part%20of%20our%20social%20fabric." TargetMode="External" /><Relationship Type="http://schemas.openxmlformats.org/officeDocument/2006/relationships/hyperlink" Id="rId50" Target="https://www.singstat.gov.sg/-/media/files/standards_and_classifications/nsa.ashx" TargetMode="External" /><Relationship Type="http://schemas.openxmlformats.org/officeDocument/2006/relationships/hyperlink" Id="rId22" Target="https://www.singstat.gov.sg/find-data/search-by-theme/population/geographic-distribution/latest-data" TargetMode="External" /></Relationships>
</file>

<file path=word/_rels/footnotes.xml.rels><?xml version="1.0" encoding="UTF-8"?><Relationships xmlns="http://schemas.openxmlformats.org/package/2006/relationships"><Relationship Type="http://schemas.openxmlformats.org/officeDocument/2006/relationships/hyperlink" Id="rId51" Target="https://www.mccy.gov.sg/sector/youth#:~:text=In%20Singapore%2C%20youths%20are%20defined,part%20of%20our%20social%20fabric." TargetMode="External" /><Relationship Type="http://schemas.openxmlformats.org/officeDocument/2006/relationships/hyperlink" Id="rId50" Target="https://www.singstat.gov.sg/-/media/files/standards_and_classifications/nsa.ashx" TargetMode="External" /><Relationship Type="http://schemas.openxmlformats.org/officeDocument/2006/relationships/hyperlink" Id="rId22" Target="https://www.singstat.gov.sg/find-data/search-by-theme/population/geographic-distribution/latest-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Take-home Exercise 01</dc:title>
  <dc:creator>Yang Lu</dc:creator>
  <cp:keywords/>
  <dcterms:created xsi:type="dcterms:W3CDTF">2025-05-08T17:46:26Z</dcterms:created>
  <dcterms:modified xsi:type="dcterms:W3CDTF">2025-05-08T17:46:26Z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2025-05-03</vt:lpwstr>
  </property>
  <property fmtid="{D5CDD505-2E9C-101B-9397-08002B2CF9AE}" pid="6" name="date-modified">
    <vt:lpwstr>2025-05-09</vt:lpwstr>
  </property>
  <property fmtid="{D5CDD505-2E9C-101B-9397-08002B2CF9AE}" pid="7" name="editor">
    <vt:lpwstr>visual</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