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</w:t>
      </w:r>
      <w:r>
        <w:t xml:space="preserve"> </w:t>
      </w:r>
      <w:r>
        <w:t xml:space="preserve">01</w:t>
      </w:r>
      <w:r>
        <w:t xml:space="preserve"> </w:t>
      </w:r>
      <w:r>
        <w:t xml:space="preserve">phase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Yang</w:t>
      </w:r>
      <w:r>
        <w:t xml:space="preserve"> </w:t>
      </w:r>
      <w:r>
        <w:t xml:space="preserve">Lu</w:t>
      </w:r>
    </w:p>
    <w:p>
      <w:pPr>
        <w:pStyle w:val="Date"/>
      </w:pPr>
      <w:r>
        <w:t xml:space="preserve">2025-05-09</w:t>
      </w:r>
    </w:p>
    <w:bookmarkStart w:id="20" w:name="overview-task"/>
    <w:p>
      <w:pPr>
        <w:pStyle w:val="Heading2"/>
      </w:pPr>
      <w:r>
        <w:t xml:space="preserve">Overview Task</w:t>
      </w:r>
    </w:p>
    <w:p>
      <w:pPr>
        <w:pStyle w:val="FirstParagraph"/>
      </w:pPr>
      <w:r>
        <w:t xml:space="preserve">In this exercise, we select a peer submission of Take-home Exercise 1.</w:t>
      </w:r>
    </w:p>
    <w:p>
      <w:pPr>
        <w:numPr>
          <w:ilvl w:val="0"/>
          <w:numId w:val="1001"/>
        </w:numPr>
      </w:pPr>
      <w:r>
        <w:t xml:space="preserve">Critic good design principles</w:t>
      </w:r>
    </w:p>
    <w:p>
      <w:pPr>
        <w:numPr>
          <w:ilvl w:val="0"/>
          <w:numId w:val="1001"/>
        </w:numPr>
      </w:pPr>
      <w:r>
        <w:t xml:space="preserve">Recommendations for further improvement</w:t>
      </w:r>
    </w:p>
    <w:p>
      <w:pPr>
        <w:numPr>
          <w:ilvl w:val="0"/>
          <w:numId w:val="1001"/>
        </w:numPr>
      </w:pPr>
      <w:r>
        <w:t xml:space="preserve">Present a makeover version of the data</w:t>
      </w:r>
    </w:p>
    <w:bookmarkEnd w:id="20"/>
    <w:bookmarkStart w:id="26" w:name="getting-started"/>
    <w:p>
      <w:pPr>
        <w:pStyle w:val="Heading2"/>
      </w:pPr>
      <w:r>
        <w:t xml:space="preserve">Getting started</w:t>
      </w:r>
    </w:p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(tidyverse,dplyr,</w:t>
      </w:r>
      <w:r>
        <w:br/>
      </w:r>
      <w:r>
        <w:rPr>
          <w:rStyle w:val="NormalTok"/>
        </w:rPr>
        <w:t xml:space="preserve">               ggplot2, forcats, </w:t>
      </w:r>
      <w:r>
        <w:br/>
      </w:r>
      <w:r>
        <w:rPr>
          <w:rStyle w:val="NormalTok"/>
        </w:rPr>
        <w:t xml:space="preserve">               scales,patchwork)</w:t>
      </w:r>
    </w:p>
    <w:bookmarkEnd w:id="21"/>
    <w:bookmarkStart w:id="22" w:name="import-data"/>
    <w:p>
      <w:pPr>
        <w:pStyle w:val="Heading3"/>
      </w:pPr>
      <w:r>
        <w:t xml:space="preserve">Import data</w:t>
      </w:r>
    </w:p>
    <w:p>
      <w:pPr>
        <w:pStyle w:val="FirstParagraph"/>
      </w:pPr>
      <w:r>
        <w:t xml:space="preserve">The data used in this exercise is the same as the data used in the Take-home Exercise 1</w:t>
      </w:r>
    </w:p>
    <w:p>
      <w:pPr>
        <w:pStyle w:val="SourceCode"/>
      </w:pPr>
      <w:r>
        <w:rPr>
          <w:rStyle w:val="NormalTok"/>
        </w:rPr>
        <w:t xml:space="preserve">population_age_sex_2024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"respopagesex2024/respopagesex2024.csv"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population_age_sex_2024</w:t>
      </w:r>
    </w:p>
    <w:p>
      <w:pPr>
        <w:pStyle w:val="SourceCode"/>
      </w:pPr>
      <w:r>
        <w:rPr>
          <w:rStyle w:val="VerbatimChar"/>
        </w:rPr>
        <w:t xml:space="preserve"># A tibble: 60,424 × 6</w:t>
      </w:r>
      <w:r>
        <w:br/>
      </w:r>
      <w:r>
        <w:rPr>
          <w:rStyle w:val="VerbatimChar"/>
        </w:rPr>
        <w:t xml:space="preserve">   PA         SZ                     Age   Sex       Pop  Time</w:t>
      </w:r>
      <w:r>
        <w:br/>
      </w:r>
      <w:r>
        <w:rPr>
          <w:rStyle w:val="VerbatimChar"/>
        </w:rPr>
        <w:t xml:space="preserve">   &lt;chr&gt;      &lt;chr&gt;                  &lt;chr&gt; &lt;chr&gt;   &lt;dbl&gt; &lt;dbl&gt;</w:t>
      </w:r>
      <w:r>
        <w:br/>
      </w:r>
      <w:r>
        <w:rPr>
          <w:rStyle w:val="VerbatimChar"/>
        </w:rPr>
        <w:t xml:space="preserve"> 1 Ang Mo Kio Ang Mo Kio Town Centre 0     Males      10  2024</w:t>
      </w:r>
      <w:r>
        <w:br/>
      </w:r>
      <w:r>
        <w:rPr>
          <w:rStyle w:val="VerbatimChar"/>
        </w:rPr>
        <w:t xml:space="preserve"> 2 Ang Mo Kio Ang Mo Kio Town Centre 0     Females    10  2024</w:t>
      </w:r>
      <w:r>
        <w:br/>
      </w:r>
      <w:r>
        <w:rPr>
          <w:rStyle w:val="VerbatimChar"/>
        </w:rPr>
        <w:t xml:space="preserve"> 3 Ang Mo Kio Ang Mo Kio Town Centre 1     Males      10  2024</w:t>
      </w:r>
      <w:r>
        <w:br/>
      </w:r>
      <w:r>
        <w:rPr>
          <w:rStyle w:val="VerbatimChar"/>
        </w:rPr>
        <w:t xml:space="preserve"> 4 Ang Mo Kio Ang Mo Kio Town Centre 1     Females    10  2024</w:t>
      </w:r>
      <w:r>
        <w:br/>
      </w:r>
      <w:r>
        <w:rPr>
          <w:rStyle w:val="VerbatimChar"/>
        </w:rPr>
        <w:t xml:space="preserve"> 5 Ang Mo Kio Ang Mo Kio Town Centre 2     Males      10  2024</w:t>
      </w:r>
      <w:r>
        <w:br/>
      </w:r>
      <w:r>
        <w:rPr>
          <w:rStyle w:val="VerbatimChar"/>
        </w:rPr>
        <w:t xml:space="preserve"> 6 Ang Mo Kio Ang Mo Kio Town Centre 2     Females    10  2024</w:t>
      </w:r>
      <w:r>
        <w:br/>
      </w:r>
      <w:r>
        <w:rPr>
          <w:rStyle w:val="VerbatimChar"/>
        </w:rPr>
        <w:t xml:space="preserve"> 7 Ang Mo Kio Ang Mo Kio Town Centre 3     Males      10  2024</w:t>
      </w:r>
      <w:r>
        <w:br/>
      </w:r>
      <w:r>
        <w:rPr>
          <w:rStyle w:val="VerbatimChar"/>
        </w:rPr>
        <w:t xml:space="preserve"> 8 Ang Mo Kio Ang Mo Kio Town Centre 3     Females    10  2024</w:t>
      </w:r>
      <w:r>
        <w:br/>
      </w:r>
      <w:r>
        <w:rPr>
          <w:rStyle w:val="VerbatimChar"/>
        </w:rPr>
        <w:t xml:space="preserve"> 9 Ang Mo Kio Ang Mo Kio Town Centre 4     Males      30  2024</w:t>
      </w:r>
      <w:r>
        <w:br/>
      </w:r>
      <w:r>
        <w:rPr>
          <w:rStyle w:val="VerbatimChar"/>
        </w:rPr>
        <w:t xml:space="preserve">10 Ang Mo Kio Ang Mo Kio Town Centre 4     Females    10  2024</w:t>
      </w:r>
      <w:r>
        <w:br/>
      </w:r>
      <w:r>
        <w:rPr>
          <w:rStyle w:val="VerbatimChar"/>
        </w:rPr>
        <w:t xml:space="preserve"># ℹ 60,414 more rows</w:t>
      </w:r>
    </w:p>
    <w:bookmarkEnd w:id="22"/>
    <w:bookmarkStart w:id="25" w:name="data-processing"/>
    <w:p>
      <w:pPr>
        <w:pStyle w:val="Heading3"/>
      </w:pPr>
      <w:r>
        <w:t xml:space="preserve">Data Processing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(population_age_sex_2024)</w:t>
      </w:r>
    </w:p>
    <w:p>
      <w:pPr>
        <w:pStyle w:val="SourceCode"/>
      </w:pPr>
      <w:r>
        <w:rPr>
          <w:rStyle w:val="VerbatimChar"/>
        </w:rPr>
        <w:t xml:space="preserve">spc_tbl_ [60,424 × 6] (S3: spec_tbl_df/tbl_df/tbl/data.frame)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chr [1:60424] "0" "0" "1" "1"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  <w:r>
        <w:br/>
      </w:r>
      <w:r>
        <w:rPr>
          <w:rStyle w:val="VerbatimChar"/>
        </w:rPr>
        <w:t xml:space="preserve"> - attr(*, "spec")=</w:t>
      </w:r>
      <w:r>
        <w:br/>
      </w:r>
      <w:r>
        <w:rPr>
          <w:rStyle w:val="VerbatimChar"/>
        </w:rPr>
        <w:t xml:space="preserve">  .. cols(</w:t>
      </w:r>
      <w:r>
        <w:br/>
      </w:r>
      <w:r>
        <w:rPr>
          <w:rStyle w:val="VerbatimChar"/>
        </w:rPr>
        <w:t xml:space="preserve">  ..   PA = col_character(),</w:t>
      </w:r>
      <w:r>
        <w:br/>
      </w:r>
      <w:r>
        <w:rPr>
          <w:rStyle w:val="VerbatimChar"/>
        </w:rPr>
        <w:t xml:space="preserve">  ..   SZ = col_character(),</w:t>
      </w:r>
      <w:r>
        <w:br/>
      </w:r>
      <w:r>
        <w:rPr>
          <w:rStyle w:val="VerbatimChar"/>
        </w:rPr>
        <w:t xml:space="preserve">  ..   Age = col_character(),</w:t>
      </w:r>
      <w:r>
        <w:br/>
      </w:r>
      <w:r>
        <w:rPr>
          <w:rStyle w:val="VerbatimChar"/>
        </w:rPr>
        <w:t xml:space="preserve">  ..   Sex = col_character(),</w:t>
      </w:r>
      <w:r>
        <w:br/>
      </w:r>
      <w:r>
        <w:rPr>
          <w:rStyle w:val="VerbatimChar"/>
        </w:rPr>
        <w:t xml:space="preserve">  ..   Pop = col_double(),</w:t>
      </w:r>
      <w:r>
        <w:br/>
      </w:r>
      <w:r>
        <w:rPr>
          <w:rStyle w:val="VerbatimChar"/>
        </w:rPr>
        <w:t xml:space="preserve">  ..   Time = col_double()</w:t>
      </w:r>
      <w:r>
        <w:br/>
      </w:r>
      <w:r>
        <w:rPr>
          <w:rStyle w:val="VerbatimChar"/>
        </w:rPr>
        <w:t xml:space="preserve">  .. )</w:t>
      </w:r>
      <w:r>
        <w:br/>
      </w:r>
      <w:r>
        <w:rPr>
          <w:rStyle w:val="VerbatimChar"/>
        </w:rPr>
        <w:t xml:space="preserve"> - attr(*, "problems")=&lt;externalptr&gt; 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(population_age_sex_2024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 [1] "0"           "1"           "10"          "11"          "12"         </w:t>
      </w:r>
      <w:r>
        <w:br/>
      </w:r>
      <w:r>
        <w:rPr>
          <w:rStyle w:val="VerbatimChar"/>
        </w:rPr>
        <w:t xml:space="preserve"> [6] "13"          "14"          "15"          "16"          "17"         </w:t>
      </w:r>
      <w:r>
        <w:br/>
      </w:r>
      <w:r>
        <w:rPr>
          <w:rStyle w:val="VerbatimChar"/>
        </w:rPr>
        <w:t xml:space="preserve">[11] "18"          "19"          "2"           "20"          "21"         </w:t>
      </w:r>
      <w:r>
        <w:br/>
      </w:r>
      <w:r>
        <w:rPr>
          <w:rStyle w:val="VerbatimChar"/>
        </w:rPr>
        <w:t xml:space="preserve">[16] "22"          "23"          "24"          "25"          "26"         </w:t>
      </w:r>
      <w:r>
        <w:br/>
      </w:r>
      <w:r>
        <w:rPr>
          <w:rStyle w:val="VerbatimChar"/>
        </w:rPr>
        <w:t xml:space="preserve">[21] "27"          "28"          "29"          "3"           "30"         </w:t>
      </w:r>
      <w:r>
        <w:br/>
      </w:r>
      <w:r>
        <w:rPr>
          <w:rStyle w:val="VerbatimChar"/>
        </w:rPr>
        <w:t xml:space="preserve">[26] "31"          "32"          "33"          "34"          "35"         </w:t>
      </w:r>
      <w:r>
        <w:br/>
      </w:r>
      <w:r>
        <w:rPr>
          <w:rStyle w:val="VerbatimChar"/>
        </w:rPr>
        <w:t xml:space="preserve">[31] "36"          "37"          "38"          "39"          "4"          </w:t>
      </w:r>
      <w:r>
        <w:br/>
      </w:r>
      <w:r>
        <w:rPr>
          <w:rStyle w:val="VerbatimChar"/>
        </w:rPr>
        <w:t xml:space="preserve">[36] "40"          "41"          "42"          "43"          "44"         </w:t>
      </w:r>
      <w:r>
        <w:br/>
      </w:r>
      <w:r>
        <w:rPr>
          <w:rStyle w:val="VerbatimChar"/>
        </w:rPr>
        <w:t xml:space="preserve">[41] "45"          "46"          "47"          "48"          "49"         </w:t>
      </w:r>
      <w:r>
        <w:br/>
      </w:r>
      <w:r>
        <w:rPr>
          <w:rStyle w:val="VerbatimChar"/>
        </w:rPr>
        <w:t xml:space="preserve">[46] "5"           "50"          "51"          "52"          "53"         </w:t>
      </w:r>
      <w:r>
        <w:br/>
      </w:r>
      <w:r>
        <w:rPr>
          <w:rStyle w:val="VerbatimChar"/>
        </w:rPr>
        <w:t xml:space="preserve">[51] "54"          "55"          "56"          "57"          "58"         </w:t>
      </w:r>
      <w:r>
        <w:br/>
      </w:r>
      <w:r>
        <w:rPr>
          <w:rStyle w:val="VerbatimChar"/>
        </w:rPr>
        <w:t xml:space="preserve">[56] "59"          "6"           "60"          "61"          "62"         </w:t>
      </w:r>
      <w:r>
        <w:br/>
      </w:r>
      <w:r>
        <w:rPr>
          <w:rStyle w:val="VerbatimChar"/>
        </w:rPr>
        <w:t xml:space="preserve">[61] "63"          "64"          "65"          "66"          "67"         </w:t>
      </w:r>
      <w:r>
        <w:br/>
      </w:r>
      <w:r>
        <w:rPr>
          <w:rStyle w:val="VerbatimChar"/>
        </w:rPr>
        <w:t xml:space="preserve">[66] "68"          "69"          "7"           "70"          "71"         </w:t>
      </w:r>
      <w:r>
        <w:br/>
      </w:r>
      <w:r>
        <w:rPr>
          <w:rStyle w:val="VerbatimChar"/>
        </w:rPr>
        <w:t xml:space="preserve">[71] "72"          "73"          "74"          "75"          "76"         </w:t>
      </w:r>
      <w:r>
        <w:br/>
      </w:r>
      <w:r>
        <w:rPr>
          <w:rStyle w:val="VerbatimChar"/>
        </w:rPr>
        <w:t xml:space="preserve">[76] "77"          "78"          "79"          "8"           "80"         </w:t>
      </w:r>
      <w:r>
        <w:br/>
      </w:r>
      <w:r>
        <w:rPr>
          <w:rStyle w:val="VerbatimChar"/>
        </w:rPr>
        <w:t xml:space="preserve">[81] "81"          "82"          "83"          "84"          "85"         </w:t>
      </w:r>
      <w:r>
        <w:br/>
      </w:r>
      <w:r>
        <w:rPr>
          <w:rStyle w:val="VerbatimChar"/>
        </w:rPr>
        <w:t xml:space="preserve">[86] "86"          "87"          "88"          "89"          "9"          </w:t>
      </w:r>
      <w:r>
        <w:br/>
      </w:r>
      <w:r>
        <w:rPr>
          <w:rStyle w:val="VerbatimChar"/>
        </w:rPr>
        <w:t xml:space="preserve">[91] "90_and_Over"</w:t>
      </w:r>
    </w:p>
    <w:bookmarkStart w:id="23" w:name="creating-a-numeric-age-column"/>
    <w:p>
      <w:pPr>
        <w:pStyle w:val="Heading4"/>
      </w:pPr>
      <w:r>
        <w:t xml:space="preserve">Creating a Numeric Age Column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population_age_sex_2024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bookmarkEnd w:id="23"/>
    <w:bookmarkStart w:id="24" w:name="creating-age-grouping"/>
    <w:p>
      <w:pPr>
        <w:pStyle w:val="Heading4"/>
      </w:pPr>
      <w:r>
        <w:t xml:space="preserve">Creating Age Grouping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"Senior"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bookmarkEnd w:id="24"/>
    <w:bookmarkEnd w:id="25"/>
    <w:bookmarkEnd w:id="26"/>
    <w:bookmarkStart w:id="39" w:name="X0250402869f2fb87d005288177773e5dfead259"/>
    <w:p>
      <w:pPr>
        <w:pStyle w:val="Heading2"/>
      </w:pPr>
      <w:r>
        <w:t xml:space="preserve">Visualization:</w:t>
      </w:r>
      <w:r>
        <w:t xml:space="preserve"> </w:t>
      </w:r>
      <w:r>
        <w:rPr>
          <w:b/>
          <w:bCs/>
        </w:rPr>
        <w:t xml:space="preserve">Population by Age / Age Group</w:t>
      </w:r>
    </w:p>
    <w:bookmarkStart w:id="30" w:name="original-design"/>
    <w:p>
      <w:pPr>
        <w:pStyle w:val="Heading3"/>
      </w:pPr>
      <w:r>
        <w:t xml:space="preserve">Original Design</w:t>
      </w:r>
    </w:p>
    <w:p>
      <w:pPr>
        <w:pStyle w:val="FirstParagraph"/>
      </w:pPr>
      <w:r>
        <w:t xml:space="preserve">This visualization shows two charts for Singapore’s resident population (2024):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Total Population by Age</w:t>
      </w:r>
      <w:r>
        <w:t xml:space="preserve"> </w:t>
      </w:r>
      <w:r>
        <w:t xml:space="preserve">– population by single-age bar chart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Population by Age Group</w:t>
      </w:r>
      <w:r>
        <w:t xml:space="preserve"> </w:t>
      </w:r>
      <w:r>
        <w:t xml:space="preserve">– a 4-category bar chart (Child, Youth, Adult, Senior)</w:t>
      </w:r>
    </w:p>
    <w:p>
      <w:pPr>
        <w:pStyle w:val="FirstParagraph"/>
      </w:pPr>
      <w:r>
        <w:t xml:space="preserve">The original design is shown below.</w:t>
      </w:r>
    </w:p>
    <w:p>
      <w:pPr>
        <w:pStyle w:val="BodyText"/>
      </w:pPr>
      <w:r>
        <w:drawing>
          <wp:inline>
            <wp:extent cx="5067300" cy="401951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15399812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1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critique-for-population-by-age-age-group"/>
    <w:p>
      <w:pPr>
        <w:pStyle w:val="Heading3"/>
      </w:pPr>
      <w:r>
        <w:rPr>
          <w:b/>
          <w:bCs/>
        </w:rPr>
        <w:t xml:space="preserve">Critique for Population by Age / Age Group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Clarity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Clear Aspects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Bars are labeled and vertically aligned, allowing easy mapping to axis values.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Axis titles (</w:t>
            </w:r>
            <w:r>
              <w:t xml:space="preserve">“</w:t>
            </w:r>
            <w:r>
              <w:t xml:space="preserve">Age</w:t>
            </w:r>
            <w:r>
              <w:t xml:space="preserve">”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t xml:space="preserve">“</w:t>
            </w:r>
            <w:r>
              <w:t xml:space="preserve">Age-Group</w:t>
            </w:r>
            <w:r>
              <w:t xml:space="preserve">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</w:t>
            </w:r>
            <w:r>
              <w:t xml:space="preserve">Population</w:t>
            </w:r>
            <w:r>
              <w:t xml:space="preserve">”</w:t>
            </w:r>
            <w:r>
              <w:t xml:space="preserve">) are clearly stated.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Insights below the charts succinctly summarize the key takeaways.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Confusing Aspects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For Total Population by Age chart</w:t>
            </w:r>
          </w:p>
          <w:p>
            <w:pPr>
              <w:numPr>
                <w:ilvl w:val="1"/>
                <w:numId w:val="1005"/>
              </w:numPr>
            </w:pPr>
            <w:r>
              <w:t xml:space="preserve">The x-axis includes every single age, making it difficult to identify exact values for each one.</w:t>
            </w:r>
          </w:p>
          <w:p>
            <w:pPr>
              <w:numPr>
                <w:ilvl w:val="1"/>
                <w:numId w:val="1005"/>
              </w:numPr>
            </w:pPr>
            <w:r>
              <w:t xml:space="preserve">The age on the x-axis cuts off after age 75, making the data appear incomplete.</w:t>
            </w:r>
          </w:p>
          <w:p>
            <w:pPr>
              <w:numPr>
                <w:ilvl w:val="1"/>
                <w:numId w:val="1005"/>
              </w:numPr>
            </w:pPr>
            <w:r>
              <w:t xml:space="preserve">The y-axis has a maximum of 60,000, but some age bars exceeded above the limit and appear visually clipped.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Population by Age Group chart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Age groups are labeled as</w:t>
            </w:r>
            <w:r>
              <w:t xml:space="preserve"> </w:t>
            </w:r>
            <w:r>
              <w:t xml:space="preserve">“</w:t>
            </w:r>
            <w:r>
              <w:t xml:space="preserve">Child,</w:t>
            </w:r>
            <w:r>
              <w:t xml:space="preserve">”</w:t>
            </w:r>
            <w:r>
              <w:t xml:space="preserve"> </w:t>
            </w:r>
            <w:r>
              <w:t xml:space="preserve">“</w:t>
            </w:r>
            <w:r>
              <w:t xml:space="preserve">Youth,</w:t>
            </w:r>
            <w:r>
              <w:t xml:space="preserve">”</w:t>
            </w:r>
            <w:r>
              <w:t xml:space="preserve"> </w:t>
            </w:r>
            <w:r>
              <w:t xml:space="preserve">etc., without their numeric ranges (e.g. 0–14, 15–24), making the groupings harder to interpret.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The order of age groups</w:t>
            </w:r>
            <w:r>
              <w:t xml:space="preserve"> </w:t>
            </w:r>
            <w:r>
              <w:t xml:space="preserve">“</w:t>
            </w:r>
            <w:r>
              <w:t xml:space="preserve">Adult, Child, Senior, Youth,</w:t>
            </w:r>
            <w:r>
              <w:t xml:space="preserve">”</w:t>
            </w:r>
            <w:r>
              <w:t xml:space="preserve"> </w:t>
            </w:r>
            <w:r>
              <w:t xml:space="preserve">does not follow a logical age progression, making it harder to grasp at a glance which can confuse viewers on first impression.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Aesthetics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Visually Appealing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The minimalist design keeps the focus on the bars by reducing distractions.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Bold chart titles and axis labels enhance’s readability.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Visually Distracting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For Total Population by Age chart</w:t>
            </w:r>
          </w:p>
          <w:p>
            <w:pPr>
              <w:numPr>
                <w:ilvl w:val="1"/>
                <w:numId w:val="1009"/>
              </w:numPr>
            </w:pPr>
            <w:r>
              <w:t xml:space="preserve">The wide age range makes it hard to distinguish where one age group ends and another begings.</w:t>
            </w:r>
          </w:p>
          <w:p>
            <w:pPr>
              <w:numPr>
                <w:ilvl w:val="1"/>
                <w:numId w:val="1009"/>
              </w:numPr>
            </w:pPr>
            <w:r>
              <w:t xml:space="preserve">Bars do not display actual population values for easier understanding at first glance.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For Population by Age Group chart</w:t>
            </w:r>
          </w:p>
          <w:p>
            <w:pPr>
              <w:pStyle w:val="Compact"/>
              <w:numPr>
                <w:ilvl w:val="1"/>
                <w:numId w:val="1010"/>
              </w:numPr>
            </w:pPr>
            <w:r>
              <w:t xml:space="preserve">The absence of data labels on bars forces viewers to rely on the y-axis to estimate values.</w:t>
            </w:r>
          </w:p>
        </w:tc>
      </w:tr>
    </w:tbl>
    <w:bookmarkEnd w:id="31"/>
    <w:bookmarkStart w:id="32" w:name="remake"/>
    <w:p>
      <w:pPr>
        <w:pStyle w:val="Heading3"/>
      </w:pPr>
      <w:r>
        <w:t xml:space="preserve">Remake</w:t>
      </w:r>
    </w:p>
    <w:bookmarkEnd w:id="32"/>
    <w:p>
      <w:pPr>
        <w:pStyle w:val="Heading3"/>
      </w:pPr>
      <w:r>
        <w:t xml:space="preserve">Total Population by Age (The Plot)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ake-home_Ex02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Total Population by Age (The code chunk)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NormalTok"/>
        </w:rPr>
        <w:t xml:space="preserve">bin_labels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"90+"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pop_5yr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"90_and_above"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AgeNum,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bin_labels,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AgeBin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"90+"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(AgeBin)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(AgeBin,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bin_labels))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(pop_5yr,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AgeBin,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"#28D6D7"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(Pop)),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 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"#D72928"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440000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"Singapore Resident Population (Y2024)"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p>
      <w:pPr>
        <w:pStyle w:val="Heading3"/>
      </w:pPr>
      <w:r>
        <w:t xml:space="preserve">population by age group (The 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ake-home_Ex02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population by age group (The code chunk 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"90_and_above"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(0–12)"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"Youth (13–24)"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 (25–64)"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"Senior (65+)"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AgeGroup,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(0–12)"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"Youth (13–24)"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"Adult (25–64)"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"Senior (65+)"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p2_new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(Pop)),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comma,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Singapore Department of Statistics (June 2024)"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panel.grid.minor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plot.caption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(p2_new)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Refinements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Clearer Age Grouping</w:t>
            </w:r>
            <w:r>
              <w:t xml:space="preserve">: Replaced 91 single-age bins with broader 5-year intervals (e.g., 0–4, 5–9, …, 85–89, 90+), making cohort sizes easier to interpret at a glance.</w:t>
            </w:r>
          </w:p>
          <w:p>
            <w:pPr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Labeled Group Names</w:t>
            </w:r>
            <w:r>
              <w:t xml:space="preserve">: Added numeric ranges to group labels — e.g.,</w:t>
            </w:r>
            <w:r>
              <w:t xml:space="preserve"> </w:t>
            </w:r>
            <w:r>
              <w:t xml:space="preserve">“</w:t>
            </w:r>
            <w:r>
              <w:t xml:space="preserve">Child (0–12)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Youth (13–24)</w:t>
            </w:r>
            <w:r>
              <w:t xml:space="preserve">”</w:t>
            </w:r>
            <w:r>
              <w:t xml:space="preserve"> </w:t>
            </w:r>
            <w:r>
              <w:t xml:space="preserve">— so each label conveys full meaning without requiring external reference.</w:t>
            </w:r>
          </w:p>
          <w:p>
            <w:pPr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Value Labels on Bars</w:t>
            </w:r>
            <w:r>
              <w:t xml:space="preserve">: Population counts are now displayed directly above each bar in a contrasting color, reducing reliance on the y-axis for exact values.</w:t>
            </w:r>
          </w:p>
          <w:p>
            <w:pPr>
              <w:numPr>
                <w:ilvl w:val="0"/>
                <w:numId w:val="1011"/>
              </w:numPr>
            </w:pPr>
            <w:r>
              <w:rPr>
                <w:b/>
                <w:bCs/>
              </w:rPr>
              <w:t xml:space="preserve">Improved Text Legibility</w:t>
            </w:r>
            <w:r>
              <w:t xml:space="preserve">: Increased base font sizes (including for titles, axis labels, and bar labels), ensuring readability even in high-resolution displays or print.</w:t>
            </w:r>
          </w:p>
        </w:tc>
      </w:tr>
    </w:tbl>
    <w:bookmarkEnd w:id="39"/>
    <w:bookmarkStart w:id="40" w:name="summary-and-conclusion"/>
    <w:p>
      <w:pPr>
        <w:pStyle w:val="Heading2"/>
      </w:pPr>
      <w:r>
        <w:t xml:space="preserve">Summary and conclusion</w:t>
      </w:r>
    </w:p>
    <w:p>
      <w:pPr>
        <w:pStyle w:val="FirstParagraph"/>
      </w:pPr>
      <w:r>
        <w:t xml:space="preserve">By grouping ages into 5-year bins and enriching the labels, we transformed a busy histogram and a loosely ordered bar chart into concise, self-contained visuals. These redesigned plots not only improve readability and accessibility but also make the demographic story of Singapore—its strong working-age base, shrinking youth cohorts, and emerging aging population—more transparent for policymakers and stakeholders.</w:t>
      </w:r>
    </w:p>
    <w:bookmarkEnd w:id="40"/>
    <w:bookmarkStart w:id="42" w:name="reference"/>
    <w:p>
      <w:pPr>
        <w:pStyle w:val="Heading2"/>
      </w:pPr>
      <w:r>
        <w:rPr>
          <w:b/>
          <w:bCs/>
        </w:rPr>
        <w:t xml:space="preserve">Reference</w:t>
      </w:r>
    </w:p>
    <w:p>
      <w:pPr>
        <w:pStyle w:val="FirstParagraph"/>
      </w:pPr>
      <w:hyperlink r:id="rId41">
        <w:r>
          <w:rPr>
            <w:rStyle w:val="Hyperlink"/>
          </w:rPr>
          <w:t xml:space="preserve">https://cabbage-wonderland.netlify.app/takehome_ex/takehome_ex01/takehome_ex01#overview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hyperlink" Id="rId41" Target="https://cabbage-wonderland.netlify.app/takehome_ex/takehome_ex01/takehome_ex01#over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abbage-wonderland.netlify.app/takehome_ex/takehome_ex01/takehome_ex01#ov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 01 phase 2</dc:title>
  <dc:creator>Yang Lu</dc:creator>
  <cp:keywords/>
  <dcterms:created xsi:type="dcterms:W3CDTF">2025-05-08T17:48:30Z</dcterms:created>
  <dcterms:modified xsi:type="dcterms:W3CDTF">2025-05-08T17:48:30Z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2025-05-09</vt:lpwstr>
  </property>
  <property fmtid="{D5CDD505-2E9C-101B-9397-08002B2CF9AE}" pid="6" name="date-modified">
    <vt:lpwstr>2025-05-09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