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center"/>
      </w:pPr>
      <w:r>
        <w:rPr>
          <w:rFonts w:ascii="Times New Roman" w:hAnsi="Times New Roman" w:cs="Times New Roman"/>
          <w:b/>
          <w:i w:val="0"/>
          <w:color w:val="000000"/>
          <w:sz w:val="32"/>
          <w:szCs w:val="32"/>
        </w:rPr>
        <w:t xml:space="preserve">Aid, remittances and agency in small island states</w:t>
      </w:r>
    </w:p>
    <w:p>
      <w:pPr>
        <w:spacing w:after="120" w:line="264" w:lineRule="auto"/>
        <w:jc w:val="center"/>
      </w:pPr>
      <w:r>
        <w:rPr>
          <w:rFonts w:ascii="Times New Roman" w:hAnsi="Times New Roman" w:cs="Times New Roman"/>
          <w:b w:val="0"/>
          <w:i/>
          <w:color w:val="000000"/>
          <w:sz w:val="24"/>
          <w:szCs w:val="24"/>
        </w:rPr>
        <w:t xml:space="preserve">The cases of Malta and Jamaica</w:t>
      </w:r>
    </w:p>
    <w:p>
      <w:pPr>
        <w:spacing w:after="200" w:line="264" w:lineRule="auto"/>
        <w:jc w:val="center"/>
      </w:pPr>
      <w:r>
        <w:rPr>
          <w:rFonts w:ascii="Times New Roman" w:hAnsi="Times New Roman" w:cs="Times New Roman"/>
          <w:b w:val="0"/>
          <w:i w:val="0"/>
          <w:color w:val="000000"/>
          <w:sz w:val="21"/>
          <w:szCs w:val="21"/>
        </w:rPr>
        <w:t xml:space="preserve">Seminar session for European Small States in the 20th Century, University of Hildesheim. Friday 27 November 2026, 12:15 to 13:45 CET, online. Dr Roxane de Waegh, Islands and Small States Institute, University of Malta. Outline of 17 September 2026.</w:t>
      </w:r>
    </w:p>
    <w:p>
      <w:pPr>
        <w:spacing w:after="80" w:line="264" w:lineRule="auto" w:before="200"/>
        <w:keepNext/>
      </w:pPr>
      <w:r>
        <w:rPr>
          <w:rFonts w:ascii="Times New Roman" w:hAnsi="Times New Roman" w:cs="Times New Roman"/>
          <w:b/>
          <w:i w:val="0"/>
          <w:color w:val="000000"/>
          <w:sz w:val="26"/>
          <w:szCs w:val="26"/>
        </w:rPr>
        <w:t xml:space="preserve">What the session asks</w:t>
      </w:r>
    </w:p>
    <w:p>
      <w:pPr>
        <w:spacing w:after="120" w:line="264" w:lineRule="auto"/>
      </w:pPr>
      <w:r>
        <w:rPr>
          <w:rFonts w:ascii="Times New Roman" w:hAnsi="Times New Roman" w:cs="Times New Roman"/>
          <w:b w:val="0"/>
          <w:i w:val="0"/>
          <w:color w:val="000000"/>
        </w:rPr>
        <w:t xml:space="preserve">The session asks one question: when a small island lives on money from outside, how much agency do its government and its families have, meaning how far can they make their own decisions when a larger power sets most of the terms? I answer it through Malta, a small European state that depended on British money for most of the twentieth century, and I take the students through that century in five stages, asking in each who made the decision. Up to 1957 most Maltese worked for the British forces, about 12,000 of them in the naval dockyard alone, so the British government decided how many Maltese had jobs and what they earned. After 1946 the colonial government paid more than 140,000 people to emigrate because the island had too few jobs, and the emigrants then decided for themselves how much money to send home. In 1956 three Maltese voters in four chose to join Britain, the British government refused, and Malta became independent in 1964 on terms that London set. In 1971 Prime Minister Dom Mintoff told Britain that it would now pay rent for the harbour it had used since 1800, and in March 1972 Britain and its NATO allies signed a seven year agreement to pay 14 million pounds a year, more than three times the old rent, which is the clearest case of agency in the century. After the British base closed in 1979, Maltese governments built a new economy through tourism, manufacturing and, from 2004, membership of the European Union. The fifth stage asks what the records let a historian see: officials wrote down every sum they negotiated, while almost nobody wrote down what families decided.</w:t>
      </w:r>
    </w:p>
    <w:p>
      <w:pPr>
        <w:spacing w:after="120" w:line="264" w:lineRule="auto"/>
      </w:pPr>
      <w:r>
        <w:rPr>
          <w:rFonts w:ascii="Times New Roman" w:hAnsi="Times New Roman" w:cs="Times New Roman"/>
          <w:b w:val="0"/>
          <w:i w:val="0"/>
          <w:color w:val="000000"/>
        </w:rPr>
        <w:t xml:space="preserve">Jamaica, which left the same empire in 1962, shows where the decisions moved. Jamaicans moved to Britain for work from 1948 until the Commonwealth Immigrants Act restricted entry on 1 July 1962, and then turned mainly to the United States and Canada. In 1976, the first year for which the World Bank has figures for both islands, money sent home by emigrants (remittances) was worth 6.1% of Malta's GDP and 3.0% of Jamaica's. The two islands then went in opposite directions: remittances fell to 0.5% of Malta's GDP by 1999 as its economy grew, and rose to 8.7% of Jamaica's GDP by 1999 and to 16% by 2024, because Jamaica's economy did not create enough work and Jamaicans kept leaving. The Jamaican government still negotiates much of the island's income from abroad, but a large share now also arrives as private transfers to households, which the government does not direct. From the comparison the students take three conditions they can test on any small state in the course: a home market too small to employ its people, dependence on one larger country, and whether the state holds something a larger country needs and whether its government can make that country pay for it.</w:t>
      </w:r>
    </w:p>
    <w:p>
      <w:pPr>
        <w:spacing w:after="80" w:line="264" w:lineRule="auto" w:before="200"/>
        <w:keepNext/>
      </w:pPr>
      <w:r>
        <w:rPr>
          <w:rFonts w:ascii="Times New Roman" w:hAnsi="Times New Roman" w:cs="Times New Roman"/>
          <w:b/>
          <w:i w:val="0"/>
          <w:color w:val="000000"/>
          <w:sz w:val="26"/>
          <w:szCs w:val="26"/>
        </w:rPr>
        <w:t xml:space="preserve">How the ninety minutes run</w:t>
      </w:r>
    </w:p>
    <w:p>
      <w:pPr>
        <w:spacing w:after="100" w:line="264" w:lineRule="auto"/>
      </w:pPr>
      <w:r>
        <w:rPr>
          <w:rFonts w:ascii="Times New Roman" w:hAnsi="Times New Roman" w:cs="Times New Roman"/>
          <w:b/>
          <w:i w:val="0"/>
          <w:color w:val="000000"/>
        </w:rPr>
        <w:t xml:space="preserve">12:15, five minutes. </w:t>
      </w:r>
      <w:r>
        <w:rPr>
          <w:rFonts w:ascii="Times New Roman" w:hAnsi="Times New Roman" w:cs="Times New Roman"/>
          <w:b w:val="0"/>
          <w:i w:val="0"/>
          <w:color w:val="000000"/>
        </w:rPr>
        <w:t xml:space="preserve">Opening. The question for the session and what agency means for today.</w:t>
      </w:r>
    </w:p>
    <w:p>
      <w:pPr>
        <w:spacing w:after="100" w:line="264" w:lineRule="auto"/>
      </w:pPr>
      <w:r>
        <w:rPr>
          <w:rFonts w:ascii="Times New Roman" w:hAnsi="Times New Roman" w:cs="Times New Roman"/>
          <w:b/>
          <w:i w:val="0"/>
          <w:color w:val="000000"/>
        </w:rPr>
        <w:t xml:space="preserve">12:20, twenty five minutes. </w:t>
      </w:r>
      <w:r>
        <w:rPr>
          <w:rFonts w:ascii="Times New Roman" w:hAnsi="Times New Roman" w:cs="Times New Roman"/>
          <w:b w:val="0"/>
          <w:i w:val="0"/>
          <w:color w:val="000000"/>
        </w:rPr>
        <w:t xml:space="preserve">Malta in five stages, one stop each, with the World Bank aid series for 1970 to 1985 and the primary sources quoted on screen (Smith 2007, Fenech 1997, King 1979, the Kissinger memorandum of 11 March 1972).</w:t>
      </w:r>
    </w:p>
    <w:p>
      <w:pPr>
        <w:spacing w:after="100" w:line="264" w:lineRule="auto"/>
      </w:pPr>
      <w:r>
        <w:rPr>
          <w:rFonts w:ascii="Times New Roman" w:hAnsi="Times New Roman" w:cs="Times New Roman"/>
          <w:b/>
          <w:i w:val="0"/>
          <w:color w:val="000000"/>
        </w:rPr>
        <w:t xml:space="preserve">12:45, twelve minutes. </w:t>
      </w:r>
      <w:r>
        <w:rPr>
          <w:rFonts w:ascii="Times New Roman" w:hAnsi="Times New Roman" w:cs="Times New Roman"/>
          <w:b w:val="0"/>
          <w:i w:val="0"/>
          <w:color w:val="000000"/>
        </w:rPr>
        <w:t xml:space="preserve">Jamaica beside Malta: migration to Britain and then North America, and the remittance series for both islands from 1976 to 2024. The stop ends with a short discussion: is a country better off when its money from abroad goes to the government, or straight to families?</w:t>
      </w:r>
    </w:p>
    <w:p>
      <w:pPr>
        <w:spacing w:after="100" w:line="264" w:lineRule="auto"/>
      </w:pPr>
      <w:r>
        <w:rPr>
          <w:rFonts w:ascii="Times New Roman" w:hAnsi="Times New Roman" w:cs="Times New Roman"/>
          <w:b/>
          <w:i w:val="0"/>
          <w:color w:val="000000"/>
        </w:rPr>
        <w:t xml:space="preserve">12:57, forty two minutes. </w:t>
      </w:r>
      <w:r>
        <w:rPr>
          <w:rFonts w:ascii="Times New Roman" w:hAnsi="Times New Roman" w:cs="Times New Roman"/>
          <w:b w:val="0"/>
          <w:i w:val="0"/>
          <w:color w:val="000000"/>
        </w:rPr>
        <w:t xml:space="preserve">The debate about Germany, set out below: three minutes to set it up, twelve minutes in three groups, ten minutes of whole class debate, ten minutes on why the same arrangement means something different for a small state, and seven minutes on teaching this history in German schools.</w:t>
      </w:r>
    </w:p>
    <w:p>
      <w:pPr>
        <w:spacing w:after="100" w:line="264" w:lineRule="auto"/>
      </w:pPr>
      <w:r>
        <w:rPr>
          <w:rFonts w:ascii="Times New Roman" w:hAnsi="Times New Roman" w:cs="Times New Roman"/>
          <w:b/>
          <w:i w:val="0"/>
          <w:color w:val="000000"/>
        </w:rPr>
        <w:t xml:space="preserve">13:39, six minutes. </w:t>
      </w:r>
      <w:r>
        <w:rPr>
          <w:rFonts w:ascii="Times New Roman" w:hAnsi="Times New Roman" w:cs="Times New Roman"/>
          <w:b w:val="0"/>
          <w:i w:val="0"/>
          <w:color w:val="000000"/>
        </w:rPr>
        <w:t xml:space="preserve">Close. One sentence, readings and contact details.</w:t>
      </w:r>
    </w:p>
    <w:p>
      <w:pPr>
        <w:spacing w:after="80" w:line="264" w:lineRule="auto" w:before="200"/>
        <w:keepNext/>
      </w:pPr>
      <w:r>
        <w:rPr>
          <w:rFonts w:ascii="Times New Roman" w:hAnsi="Times New Roman" w:cs="Times New Roman"/>
          <w:b/>
          <w:i w:val="0"/>
          <w:color w:val="000000"/>
          <w:sz w:val="26"/>
          <w:szCs w:val="26"/>
        </w:rPr>
        <w:t xml:space="preserve">The debate</w:t>
      </w:r>
    </w:p>
    <w:p>
      <w:pPr>
        <w:spacing w:after="120" w:line="264" w:lineRule="auto"/>
      </w:pPr>
      <w:r>
        <w:rPr>
          <w:rFonts w:ascii="Times New Roman" w:hAnsi="Times New Roman" w:cs="Times New Roman"/>
          <w:b w:val="0"/>
          <w:i w:val="0"/>
          <w:color w:val="000000"/>
        </w:rPr>
        <w:t xml:space="preserve">Since most of the students are training to be history teachers, the last part of the session turns the seminar's question to their own country. Between 1955 and 1968 West Germany signed agreements to recruit workers from Italy, Spain, Greece, Turkey, Morocco, Portugal, Tunisia and Yugoslavia, and about 14 million people came to work before the federal government stopped recruitment on 23 November 1973, of whom just over 11 million went home again. The question is: who benefited more, the receiving country or the sending countries, and who decided the terms?</w:t>
      </w:r>
    </w:p>
    <w:p>
      <w:pPr>
        <w:spacing w:after="100" w:line="264" w:lineRule="auto"/>
      </w:pPr>
      <w:r>
        <w:rPr>
          <w:rFonts w:ascii="Times New Roman" w:hAnsi="Times New Roman" w:cs="Times New Roman"/>
          <w:b/>
          <w:i w:val="0"/>
          <w:color w:val="000000"/>
        </w:rPr>
        <w:t xml:space="preserve">Group 1, West Germany. </w:t>
      </w:r>
      <w:r>
        <w:rPr>
          <w:rFonts w:ascii="Times New Roman" w:hAnsi="Times New Roman" w:cs="Times New Roman"/>
          <w:b w:val="0"/>
          <w:i w:val="0"/>
          <w:color w:val="000000"/>
        </w:rPr>
        <w:t xml:space="preserve">A fact sheet on why the Federal Republic recruited workers and how it ended recruitment in 1973.</w:t>
      </w:r>
    </w:p>
    <w:p>
      <w:pPr>
        <w:spacing w:after="100" w:line="264" w:lineRule="auto"/>
      </w:pPr>
      <w:r>
        <w:rPr>
          <w:rFonts w:ascii="Times New Roman" w:hAnsi="Times New Roman" w:cs="Times New Roman"/>
          <w:b/>
          <w:i w:val="0"/>
          <w:color w:val="000000"/>
        </w:rPr>
        <w:t xml:space="preserve">Group 2, the sending governments. </w:t>
      </w:r>
      <w:r>
        <w:rPr>
          <w:rFonts w:ascii="Times New Roman" w:hAnsi="Times New Roman" w:cs="Times New Roman"/>
          <w:b w:val="0"/>
          <w:i w:val="0"/>
          <w:color w:val="000000"/>
        </w:rPr>
        <w:t xml:space="preserve">A fact sheet on Turkey: underemployment at home, about 867,000 workers recruited between 1961 and 1973, and the 2.1 billion Deutschmarks they sent home in 1972.</w:t>
      </w:r>
    </w:p>
    <w:p>
      <w:pPr>
        <w:spacing w:after="100" w:line="264" w:lineRule="auto"/>
      </w:pPr>
      <w:r>
        <w:rPr>
          <w:rFonts w:ascii="Times New Roman" w:hAnsi="Times New Roman" w:cs="Times New Roman"/>
          <w:b/>
          <w:i w:val="0"/>
          <w:color w:val="000000"/>
        </w:rPr>
        <w:t xml:space="preserve">Group 3, the families. </w:t>
      </w:r>
      <w:r>
        <w:rPr>
          <w:rFonts w:ascii="Times New Roman" w:hAnsi="Times New Roman" w:cs="Times New Roman"/>
          <w:b w:val="0"/>
          <w:i w:val="0"/>
          <w:color w:val="000000"/>
        </w:rPr>
        <w:t xml:space="preserve">A fact sheet on the families who came after 1973, when many workers stayed rather than returned.</w:t>
      </w:r>
    </w:p>
    <w:p>
      <w:pPr>
        <w:spacing w:after="120" w:line="264" w:lineRule="auto"/>
      </w:pPr>
      <w:r>
        <w:rPr>
          <w:rFonts w:ascii="Times New Roman" w:hAnsi="Times New Roman" w:cs="Times New Roman"/>
          <w:b w:val="0"/>
          <w:i w:val="0"/>
          <w:color w:val="000000"/>
        </w:rPr>
        <w:t xml:space="preserve">Each group answers the same three questions: what did its side gain, what did it lose, and who set the terms? The whole class then debates who benefited more and who decided. In the next step I ask why the same kind of arrangement would mean something different for a small island like Malta or Jamaica, so that the students work out for themselves what makes the position of a small state different; the discussion draws on the scale of emigration, the number of partners a state can turn to, and two scholarly readings, one that sees dependence (Bertram and Watters 1985) and one that sees bargaining (Katzenstein 1985; Baldacchino 2006). We close with a few minutes on how they would teach this history in German schools, where many pupils have grandparents who came under these agreements, including how a teacher could use family interviews while keeping them optional and respectful.</w:t>
      </w:r>
    </w:p>
    <w:p>
      <w:pPr>
        <w:spacing w:after="80" w:line="264" w:lineRule="auto" w:before="200"/>
        <w:keepNext/>
      </w:pPr>
      <w:r>
        <w:rPr>
          <w:rFonts w:ascii="Times New Roman" w:hAnsi="Times New Roman" w:cs="Times New Roman"/>
          <w:b/>
          <w:i w:val="0"/>
          <w:color w:val="000000"/>
          <w:sz w:val="26"/>
          <w:szCs w:val="26"/>
        </w:rPr>
        <w:t xml:space="preserve">What I would ask of you</w:t>
      </w:r>
    </w:p>
    <w:p>
      <w:pPr>
        <w:spacing w:after="120" w:line="264" w:lineRule="auto"/>
      </w:pPr>
      <w:r>
        <w:rPr>
          <w:rFonts w:ascii="Times New Roman" w:hAnsi="Times New Roman" w:cs="Times New Roman"/>
          <w:b w:val="0"/>
          <w:i w:val="0"/>
          <w:color w:val="000000"/>
        </w:rPr>
        <w:t xml:space="preserve">Three breakout rooms at 13:00 for twelve minutes, and a shared screen. I will send the three one page fact sheets in the week before, so that you can share them with the students if you wish. No prior knowledge of Malta, Jamaica or development economics is assumed, and every term is explained in the session.</w:t>
      </w:r>
    </w:p>
    <w:p>
      <w:pPr>
        <w:spacing w:after="80" w:line="264" w:lineRule="auto" w:before="200"/>
        <w:keepNext/>
      </w:pPr>
      <w:r>
        <w:rPr>
          <w:rFonts w:ascii="Times New Roman" w:hAnsi="Times New Roman" w:cs="Times New Roman"/>
          <w:b/>
          <w:i w:val="0"/>
          <w:color w:val="000000"/>
          <w:sz w:val="26"/>
          <w:szCs w:val="26"/>
        </w:rPr>
        <w:t xml:space="preserve">Readings, for students who want them</w:t>
      </w:r>
    </w:p>
    <w:p>
      <w:pPr>
        <w:spacing w:after="80" w:line="264" w:lineRule="auto"/>
      </w:pPr>
      <w:r>
        <w:rPr>
          <w:rFonts w:ascii="Times New Roman" w:hAnsi="Times New Roman" w:cs="Times New Roman"/>
          <w:b w:val="0"/>
          <w:i w:val="0"/>
          <w:color w:val="000000"/>
        </w:rPr>
        <w:t xml:space="preserve">Smith, S. C. (2007) Integration and disintegration: the attempted incorporation of Malta into the United Kingdom in the 1950s. Journal of Imperial and Commonwealth History, 35(1), 49 to 71. https://doi.org/10.1080/03086530601143396</w:t>
      </w:r>
    </w:p>
    <w:p>
      <w:pPr>
        <w:spacing w:after="80" w:line="264" w:lineRule="auto"/>
      </w:pPr>
      <w:r>
        <w:rPr>
          <w:rFonts w:ascii="Times New Roman" w:hAnsi="Times New Roman" w:cs="Times New Roman"/>
          <w:b w:val="0"/>
          <w:i w:val="0"/>
          <w:color w:val="000000"/>
        </w:rPr>
        <w:t xml:space="preserve">Fenech, D. (1997) Malta's external security. GeoJournal, 41(2), 153 to 163. https://doi.org/10.1023/A:1006888926016</w:t>
      </w:r>
    </w:p>
    <w:p>
      <w:pPr>
        <w:spacing w:after="80" w:line="264" w:lineRule="auto"/>
      </w:pPr>
      <w:r>
        <w:rPr>
          <w:rFonts w:ascii="Times New Roman" w:hAnsi="Times New Roman" w:cs="Times New Roman"/>
          <w:b w:val="0"/>
          <w:i w:val="0"/>
          <w:color w:val="000000"/>
        </w:rPr>
        <w:t xml:space="preserve">King, R. (1979) The Maltese migration cycle: an archival survey. Area, 11(3), 245 to 249. https://www.jstor.org/stable/20001477</w:t>
      </w:r>
    </w:p>
    <w:p>
      <w:pPr>
        <w:spacing w:after="80" w:line="264" w:lineRule="auto"/>
      </w:pPr>
      <w:r>
        <w:rPr>
          <w:rFonts w:ascii="Times New Roman" w:hAnsi="Times New Roman" w:cs="Times New Roman"/>
          <w:b w:val="0"/>
          <w:i w:val="0"/>
          <w:color w:val="000000"/>
        </w:rPr>
        <w:t xml:space="preserve">Hansen, R. (2000) Citizenship and Immigration in Post-war Britain. Oxford: Oxford University Press. https://doi.org/10.1093/oso/9780198297093.001.0001</w:t>
      </w:r>
    </w:p>
    <w:p>
      <w:pPr>
        <w:spacing w:after="80" w:line="264" w:lineRule="auto"/>
      </w:pPr>
      <w:r>
        <w:rPr>
          <w:rFonts w:ascii="Times New Roman" w:hAnsi="Times New Roman" w:cs="Times New Roman"/>
          <w:b w:val="0"/>
          <w:i w:val="0"/>
          <w:color w:val="000000"/>
        </w:rPr>
        <w:t xml:space="preserve">Glennie, A. and Chappell, L. (2010) Jamaica: from diverse beginning to diaspora in the developed world. Migration Policy Institute. https://www.migrationpolicy.org/article/jamaica-diverse-beginning-diaspora-developed-world</w:t>
      </w:r>
    </w:p>
    <w:p>
      <w:pPr>
        <w:spacing w:after="80" w:line="264" w:lineRule="auto"/>
      </w:pPr>
      <w:r>
        <w:rPr>
          <w:rFonts w:ascii="Times New Roman" w:hAnsi="Times New Roman" w:cs="Times New Roman"/>
          <w:b w:val="0"/>
          <w:i w:val="0"/>
          <w:color w:val="000000"/>
        </w:rPr>
        <w:t xml:space="preserve">Bank of Jamaica (2011) Remittances to Jamaica: findings from a national survey of remittance recipients. https://www.boj.org.jm/uploads/pdf/papers_pamphlets/papers_pamphlets_Remittances_to_Jamaica_-_Findings_from_a_National_Survey_of_Remittance_Recipients.pdf</w:t>
      </w:r>
    </w:p>
    <w:p>
      <w:pPr>
        <w:spacing w:after="80" w:line="264" w:lineRule="auto"/>
      </w:pPr>
      <w:r>
        <w:rPr>
          <w:rFonts w:ascii="Times New Roman" w:hAnsi="Times New Roman" w:cs="Times New Roman"/>
          <w:b w:val="0"/>
          <w:i w:val="0"/>
          <w:color w:val="000000"/>
        </w:rPr>
        <w:t xml:space="preserve">Bundeszentrale für politische Bildung (2020) Erstes Anwerbeabkommen vor 65 Jahren. https://www.bpb.de/kurz-knapp/hintergrund-aktuell/324552/erstes-anwerbeabkommen-vor-65-jahren/</w:t>
      </w:r>
    </w:p>
    <w:p>
      <w:pPr>
        <w:spacing w:after="80" w:line="264" w:lineRule="auto"/>
      </w:pPr>
      <w:r>
        <w:rPr>
          <w:rFonts w:ascii="Times New Roman" w:hAnsi="Times New Roman" w:cs="Times New Roman"/>
          <w:b w:val="0"/>
          <w:i w:val="0"/>
          <w:color w:val="000000"/>
        </w:rPr>
        <w:t xml:space="preserve">Bertram, G. and Watters, R. F. (1985) The MIRAB economy in South Pacific microstates. Pacific Viewpoint, 26(3), 497 to 519.</w:t>
      </w:r>
    </w:p>
    <w:p>
      <w:pPr>
        <w:spacing w:after="80" w:line="264" w:lineRule="auto"/>
      </w:pPr>
      <w:r>
        <w:rPr>
          <w:rFonts w:ascii="Times New Roman" w:hAnsi="Times New Roman" w:cs="Times New Roman"/>
          <w:b w:val="0"/>
          <w:i w:val="0"/>
          <w:color w:val="000000"/>
        </w:rPr>
        <w:t xml:space="preserve">Baldacchino, G. (2006) Innovative development strategies from non-sovereign island jurisdictions? A global review of economic policy and governance practices. World Development, 34(5), 852 to 867.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3086530601143396" TargetMode="External"/><Relationship Id="rId10" Type="http://schemas.openxmlformats.org/officeDocument/2006/relationships/hyperlink" Target="https://doi.org/10.1023/A:1006888926016" TargetMode="External"/><Relationship Id="rId11" Type="http://schemas.openxmlformats.org/officeDocument/2006/relationships/hyperlink" Target="https://www.jstor.org/stable/20001477" TargetMode="External"/><Relationship Id="rId12" Type="http://schemas.openxmlformats.org/officeDocument/2006/relationships/hyperlink" Target="https://doi.org/10.1093/oso/9780198297093.001.0001" TargetMode="External"/><Relationship Id="rId13" Type="http://schemas.openxmlformats.org/officeDocument/2006/relationships/hyperlink" Target="https://doi.org/10.1111/1468-2435.00070" TargetMode="External"/><Relationship Id="rId14" Type="http://schemas.openxmlformats.org/officeDocument/2006/relationships/hyperlink" Target="https://doi.org/10.1111/j.1467-8373.2006.00295.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