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C"/>
          <w:sz w:val="30"/>
          <w:szCs w:val="30"/>
        </w:rPr>
        <w:t xml:space="preserve">Hildesheim guest seminar, 27 November 2026</w:t>
      </w:r>
    </w:p>
    <w:p>
      <w:pPr>
        <w:spacing w:after="110"/>
      </w:pPr>
      <w:r>
        <w:rPr>
          <w:rFonts w:ascii="Calibri" w:cs="Calibri" w:eastAsia="Calibri" w:hAnsi="Calibri"/>
          <w:i/>
          <w:iCs/>
          <w:color w:val="0E6E7A"/>
          <w:sz w:val="23"/>
          <w:szCs w:val="23"/>
        </w:rPr>
        <w:t xml:space="preserve">Outline and argument, second draft</w:t>
      </w:r>
    </w:p>
    <w:p>
      <w:pPr>
        <w:pBdr>
          <w:bottom w:val="single" w:color="C9C2B4" w:sz="6" w:space="6"/>
        </w:pBdr>
        <w:spacing w:after="240"/>
      </w:pPr>
      <w:r>
        <w:rPr>
          <w:rFonts w:ascii="Calibri" w:cs="Calibri" w:eastAsia="Calibri" w:hAnsi="Calibri"/>
          <w:color w:val="5B6B7B"/>
          <w:sz w:val="18"/>
          <w:szCs w:val="18"/>
        </w:rPr>
        <w:t xml:space="preserve">Deliverable D.2.7, Work Package 2. Ninety minutes online via BigBlueButton, Friday 12:15 to 13:45. Host Dr Yves Schmitz, History Department, University of Hildesheim, in a course on small states in twentieth century Europe. Audience: advanced bachelor's and master's history students, most training to become school history teachers. Prepared by Roxane de Waegh, 14 August 2026. Title due to Yves by 27 September 2026.</w:t>
      </w:r>
    </w:p>
    <w:p>
      <w:pPr>
        <w:spacing w:after="110" w:before="290"/>
      </w:pPr>
      <w:r>
        <w:rPr>
          <w:rFonts w:ascii="Calibri" w:cs="Calibri" w:eastAsia="Calibri" w:hAnsi="Calibri"/>
          <w:b/>
          <w:bCs/>
          <w:color w:val="1F3B5C"/>
          <w:sz w:val="25"/>
          <w:szCs w:val="25"/>
        </w:rPr>
        <w:t xml:space="preserve">What changed from the first draft</w:t>
      </w:r>
    </w:p>
    <w:p>
      <w:pPr>
        <w:spacing w:after="125" w:line="264"/>
        <w:jc w:val="both"/>
      </w:pPr>
      <w:r>
        <w:rPr>
          <w:rFonts w:ascii="Calibri" w:cs="Calibri" w:eastAsia="Calibri" w:hAnsi="Calibri"/>
          <w:i w:val="false"/>
          <w:iCs w:val="false"/>
          <w:color w:val="1C2B3A"/>
          <w:sz w:val="20"/>
          <w:szCs w:val="20"/>
        </w:rPr>
        <w:t xml:space="preserve">The first draft made German colonialism the spine and lost the remittance half of the argument. This one returns to the shape set out in the seminar planning notes of 17 June 2026: teach the concepts, with the aid and remittance nexus as the key idea and agency as the central claim, then two cases, then the applied exercise. Germany keeps a five minute opening and nothing more. The two cases are Malta and Tonga, one for each flow.</w:t>
      </w:r>
    </w:p>
    <w:p>
      <w:pPr>
        <w:spacing w:after="110" w:before="290"/>
      </w:pPr>
      <w:r>
        <w:rPr>
          <w:rFonts w:ascii="Calibri" w:cs="Calibri" w:eastAsia="Calibri" w:hAnsi="Calibri"/>
          <w:b/>
          <w:bCs/>
          <w:color w:val="1F3B5C"/>
          <w:sz w:val="25"/>
          <w:szCs w:val="25"/>
        </w:rPr>
        <w:t xml:space="preserve">Titles</w:t>
      </w:r>
    </w:p>
    <w:p>
      <w:pPr>
        <w:spacing w:after="125" w:line="264"/>
        <w:jc w:val="both"/>
      </w:pPr>
      <w:r>
        <w:rPr>
          <w:rFonts w:ascii="Calibri" w:cs="Calibri" w:eastAsia="Calibri" w:hAnsi="Calibri"/>
          <w:i w:val="false"/>
          <w:iCs w:val="false"/>
          <w:color w:val="1C2B3A"/>
          <w:sz w:val="20"/>
          <w:szCs w:val="20"/>
        </w:rPr>
        <w:t xml:space="preserve">The working title Yves already has now fits the seminar again, because the seminar has come back to the nexus. The alternative leads with the historiographical problem, which is what the assessment tests.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EDEAE1" w:val="clear"/>
            <w:tcMar>
              <w:top w:type="dxa" w:w="70"/>
              <w:left w:type="dxa" w:w="100"/>
              <w:bottom w:type="dxa" w:w="70"/>
              <w:right w:type="dxa" w:w="100"/>
            </w:tcMar>
          </w:tcPr>
          <w:p>
            <w:pPr>
              <w:spacing w:after="0"/>
            </w:pPr>
            <w:r>
              <w:rPr>
                <w:rFonts w:ascii="Calibri" w:cs="Calibri" w:eastAsia="Calibri" w:hAnsi="Calibri"/>
                <w:b/>
                <w:bCs/>
                <w:color w:val="1F3B5C"/>
                <w:sz w:val="18"/>
                <w:szCs w:val="18"/>
              </w:rPr>
              <w:t xml:space="preserve">Option</w:t>
            </w:r>
          </w:p>
        </w:tc>
        <w:tc>
          <w:tcPr>
            <w:tcW w:type="dxa" w:w="6500"/>
            <w:shd w:fill="EDEAE1" w:val="clear"/>
            <w:tcMar>
              <w:top w:type="dxa" w:w="70"/>
              <w:left w:type="dxa" w:w="100"/>
              <w:bottom w:type="dxa" w:w="70"/>
              <w:right w:type="dxa" w:w="100"/>
            </w:tcMar>
          </w:tcPr>
          <w:p>
            <w:pPr>
              <w:spacing w:after="0"/>
            </w:pPr>
            <w:r>
              <w:rPr>
                <w:rFonts w:ascii="Calibri" w:cs="Calibri" w:eastAsia="Calibri" w:hAnsi="Calibri"/>
                <w:b/>
                <w:bCs/>
                <w:color w:val="1F3B5C"/>
                <w:sz w:val="18"/>
                <w:szCs w:val="18"/>
              </w:rPr>
              <w:t xml:space="preserve">Title</w:t>
            </w:r>
          </w:p>
        </w:tc>
      </w:tr>
      <w:tr>
        <w:trPr>
          <w:tblHeader w:val="false"/>
        </w:trPr>
        <w:tc>
          <w:tcPr>
            <w:tcW w:type="dxa" w:w="26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A, current and now recommended</w:t>
            </w:r>
          </w:p>
        </w:tc>
        <w:tc>
          <w:tcPr>
            <w:tcW w:type="dxa" w:w="65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Aid, Remittances, and Agency: How Small States Navigated Economic Dependency in the 20th Century</w:t>
            </w:r>
          </w:p>
        </w:tc>
      </w:tr>
      <w:tr>
        <w:trPr>
          <w:tblHeader w:val="false"/>
        </w:trPr>
        <w:tc>
          <w:tcPr>
            <w:tcW w:type="dxa" w:w="2600"/>
            <w:shd w:fill="FAF8F4" w:val="clear"/>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B</w:t>
            </w:r>
          </w:p>
        </w:tc>
        <w:tc>
          <w:tcPr>
            <w:tcW w:type="dxa" w:w="6500"/>
            <w:shd w:fill="FAF8F4" w:val="clear"/>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The Same Archive, Two Histories: Aid, Remittances and Agency in the Small States of the Twentieth Century</w:t>
            </w:r>
          </w:p>
        </w:tc>
      </w:tr>
    </w:tbl>
    <w:p>
      <w:pPr>
        <w:spacing w:after="110" w:before="290"/>
      </w:pPr>
      <w:r>
        <w:rPr>
          <w:rFonts w:ascii="Calibri" w:cs="Calibri" w:eastAsia="Calibri" w:hAnsi="Calibri"/>
          <w:b/>
          <w:bCs/>
          <w:color w:val="1F3B5C"/>
          <w:sz w:val="25"/>
          <w:szCs w:val="25"/>
        </w:rPr>
        <w:t xml:space="preserve">The argument, in one paragraph</w:t>
      </w:r>
    </w:p>
    <w:p>
      <w:pPr>
        <w:spacing w:after="125" w:line="264"/>
        <w:jc w:val="both"/>
      </w:pPr>
      <w:r>
        <w:rPr>
          <w:rFonts w:ascii="Calibri" w:cs="Calibri" w:eastAsia="Calibri" w:hAnsi="Calibri"/>
          <w:i w:val="false"/>
          <w:iCs w:val="false"/>
          <w:color w:val="1C2B3A"/>
          <w:sz w:val="20"/>
          <w:szCs w:val="20"/>
        </w:rPr>
        <w:t xml:space="preserve">Small states in the twentieth century lived on flows they did not generate at home: colonial transfers, base rents, foreign aid, and money sent back by people who had left. The scholarship divides on what to make of that. One tradition reads dependence as something done to them, structurally imposed and quietly debilitating. The other reads the same records and finds negotiation, calculation and refusal, with small states pricing their strategic value, exporting labour deliberately, and using external flows as instruments rather than merely receiving them. Both traditions are serious and both cite real archives. The choice between them is not settled by finding more evidence, because it is a choice about which story the evidence is taken to tell. For a room of people about to teach history, that is the whole point: the framing arrives before the facts do.</w:t>
      </w:r>
    </w:p>
    <w:p>
      <w:pPr>
        <w:spacing w:after="110" w:before="290"/>
      </w:pPr>
      <w:r>
        <w:rPr>
          <w:rFonts w:ascii="Calibri" w:cs="Calibri" w:eastAsia="Calibri" w:hAnsi="Calibri"/>
          <w:b/>
          <w:bCs/>
          <w:color w:val="1F3B5C"/>
          <w:sz w:val="25"/>
          <w:szCs w:val="25"/>
        </w:rPr>
        <w:t xml:space="preserve">Shape of the ninety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500"/>
      </w:tblGrid>
      <w:tr>
        <w:trPr>
          <w:tblHeader/>
        </w:trPr>
        <w:tc>
          <w:tcPr>
            <w:tcW w:type="dxa" w:w="1100"/>
            <w:shd w:fill="EDEAE1" w:val="clear"/>
            <w:tcMar>
              <w:top w:type="dxa" w:w="70"/>
              <w:left w:type="dxa" w:w="100"/>
              <w:bottom w:type="dxa" w:w="70"/>
              <w:right w:type="dxa" w:w="100"/>
            </w:tcMar>
          </w:tcPr>
          <w:p>
            <w:pPr>
              <w:spacing w:after="0"/>
            </w:pPr>
            <w:r>
              <w:rPr>
                <w:rFonts w:ascii="Calibri" w:cs="Calibri" w:eastAsia="Calibri" w:hAnsi="Calibri"/>
                <w:b/>
                <w:bCs/>
                <w:color w:val="1F3B5C"/>
                <w:sz w:val="18"/>
                <w:szCs w:val="18"/>
              </w:rPr>
              <w:t xml:space="preserve">Minutes</w:t>
            </w:r>
          </w:p>
        </w:tc>
        <w:tc>
          <w:tcPr>
            <w:tcW w:type="dxa" w:w="2500"/>
            <w:shd w:fill="EDEAE1" w:val="clear"/>
            <w:tcMar>
              <w:top w:type="dxa" w:w="70"/>
              <w:left w:type="dxa" w:w="100"/>
              <w:bottom w:type="dxa" w:w="70"/>
              <w:right w:type="dxa" w:w="100"/>
            </w:tcMar>
          </w:tcPr>
          <w:p>
            <w:pPr>
              <w:spacing w:after="0"/>
            </w:pPr>
            <w:r>
              <w:rPr>
                <w:rFonts w:ascii="Calibri" w:cs="Calibri" w:eastAsia="Calibri" w:hAnsi="Calibri"/>
                <w:b/>
                <w:bCs/>
                <w:color w:val="1F3B5C"/>
                <w:sz w:val="18"/>
                <w:szCs w:val="18"/>
              </w:rPr>
              <w:t xml:space="preserve">Segment</w:t>
            </w:r>
          </w:p>
        </w:tc>
        <w:tc>
          <w:tcPr>
            <w:tcW w:type="dxa" w:w="5500"/>
            <w:shd w:fill="EDEAE1" w:val="clear"/>
            <w:tcMar>
              <w:top w:type="dxa" w:w="70"/>
              <w:left w:type="dxa" w:w="100"/>
              <w:bottom w:type="dxa" w:w="70"/>
              <w:right w:type="dxa" w:w="100"/>
            </w:tcMar>
          </w:tcPr>
          <w:p>
            <w:pPr>
              <w:spacing w:after="0"/>
            </w:pPr>
            <w:r>
              <w:rPr>
                <w:rFonts w:ascii="Calibri" w:cs="Calibri" w:eastAsia="Calibri" w:hAnsi="Calibri"/>
                <w:b/>
                <w:bCs/>
                <w:color w:val="1F3B5C"/>
                <w:sz w:val="18"/>
                <w:szCs w:val="18"/>
              </w:rPr>
              <w:t xml:space="preserve">What happens</w:t>
            </w:r>
          </w:p>
        </w:tc>
      </w:tr>
      <w:tr>
        <w:trPr>
          <w:tblHeader w:val="false"/>
        </w:trPr>
        <w:tc>
          <w:tcPr>
            <w:tcW w:type="dxa" w:w="1100"/>
            <w:tcMar>
              <w:top w:type="dxa" w:w="70"/>
              <w:left w:type="dxa" w:w="100"/>
              <w:bottom w:type="dxa" w:w="70"/>
              <w:right w:type="dxa" w:w="100"/>
            </w:tcMar>
          </w:tcPr>
          <w:p>
            <w:pPr>
              <w:spacing w:after="45"/>
            </w:pPr>
            <w:r>
              <w:rPr>
                <w:rFonts w:ascii="Calibri" w:cs="Calibri" w:eastAsia="Calibri" w:hAnsi="Calibri"/>
                <w:b w:val="false"/>
                <w:bCs w:val="false"/>
                <w:color w:val="1C2B3A"/>
                <w:sz w:val="18"/>
                <w:szCs w:val="18"/>
              </w:rPr>
              <w:t xml:space="preserve">12:15</w:t>
            </w:r>
          </w:p>
          <w:p>
            <w:pPr>
              <w:spacing w:after="0"/>
            </w:pPr>
            <w:r>
              <w:rPr>
                <w:rFonts w:ascii="Calibri" w:cs="Calibri" w:eastAsia="Calibri" w:hAnsi="Calibri"/>
                <w:b w:val="false"/>
                <w:bCs w:val="false"/>
                <w:color w:val="1C2B3A"/>
                <w:sz w:val="18"/>
                <w:szCs w:val="18"/>
              </w:rPr>
              <w:t xml:space="preserve">5 min</w:t>
            </w:r>
          </w:p>
        </w:tc>
        <w:tc>
          <w:tcPr>
            <w:tcW w:type="dxa" w:w="25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The map you were not shown</w:t>
            </w:r>
          </w:p>
        </w:tc>
        <w:tc>
          <w:tcPr>
            <w:tcW w:type="dxa" w:w="55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German Samoa, 1900 to 1914, and why an outsider is standing in front of them. Five minutes, then move on.</w:t>
            </w:r>
          </w:p>
        </w:tc>
      </w:tr>
      <w:tr>
        <w:trPr>
          <w:tblHeader w:val="false"/>
        </w:trPr>
        <w:tc>
          <w:tcPr>
            <w:tcW w:type="dxa" w:w="1100"/>
            <w:shd w:fill="FAF8F4" w:val="clear"/>
            <w:tcMar>
              <w:top w:type="dxa" w:w="70"/>
              <w:left w:type="dxa" w:w="100"/>
              <w:bottom w:type="dxa" w:w="70"/>
              <w:right w:type="dxa" w:w="100"/>
            </w:tcMar>
          </w:tcPr>
          <w:p>
            <w:pPr>
              <w:spacing w:after="45"/>
            </w:pPr>
            <w:r>
              <w:rPr>
                <w:rFonts w:ascii="Calibri" w:cs="Calibri" w:eastAsia="Calibri" w:hAnsi="Calibri"/>
                <w:b w:val="false"/>
                <w:bCs w:val="false"/>
                <w:color w:val="1C2B3A"/>
                <w:sz w:val="18"/>
                <w:szCs w:val="18"/>
              </w:rPr>
              <w:t xml:space="preserve">12:20</w:t>
            </w:r>
          </w:p>
          <w:p>
            <w:pPr>
              <w:spacing w:after="0"/>
            </w:pPr>
            <w:r>
              <w:rPr>
                <w:rFonts w:ascii="Calibri" w:cs="Calibri" w:eastAsia="Calibri" w:hAnsi="Calibri"/>
                <w:b w:val="false"/>
                <w:bCs w:val="false"/>
                <w:color w:val="1C2B3A"/>
                <w:sz w:val="18"/>
                <w:szCs w:val="18"/>
              </w:rPr>
              <w:t xml:space="preserve">35 min</w:t>
            </w:r>
          </w:p>
        </w:tc>
        <w:tc>
          <w:tcPr>
            <w:tcW w:type="dxa" w:w="2500"/>
            <w:shd w:fill="FAF8F4" w:val="clear"/>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The concepts</w:t>
            </w:r>
          </w:p>
        </w:tc>
        <w:tc>
          <w:tcPr>
            <w:tcW w:type="dxa" w:w="5500"/>
            <w:shd w:fill="FAF8F4" w:val="clear"/>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What dependency meant structurally, the two flows and how they became measurable, MIRAB and the nexus, the dependency tradition, then the turn to agency.</w:t>
            </w:r>
          </w:p>
        </w:tc>
      </w:tr>
      <w:tr>
        <w:trPr>
          <w:tblHeader w:val="false"/>
        </w:trPr>
        <w:tc>
          <w:tcPr>
            <w:tcW w:type="dxa" w:w="1100"/>
            <w:tcMar>
              <w:top w:type="dxa" w:w="70"/>
              <w:left w:type="dxa" w:w="100"/>
              <w:bottom w:type="dxa" w:w="70"/>
              <w:right w:type="dxa" w:w="100"/>
            </w:tcMar>
          </w:tcPr>
          <w:p>
            <w:pPr>
              <w:spacing w:after="45"/>
            </w:pPr>
            <w:r>
              <w:rPr>
                <w:rFonts w:ascii="Calibri" w:cs="Calibri" w:eastAsia="Calibri" w:hAnsi="Calibri"/>
                <w:b w:val="false"/>
                <w:bCs w:val="false"/>
                <w:color w:val="1C2B3A"/>
                <w:sz w:val="18"/>
                <w:szCs w:val="18"/>
              </w:rPr>
              <w:t xml:space="preserve">12:55</w:t>
            </w:r>
          </w:p>
          <w:p>
            <w:pPr>
              <w:spacing w:after="0"/>
            </w:pPr>
            <w:r>
              <w:rPr>
                <w:rFonts w:ascii="Calibri" w:cs="Calibri" w:eastAsia="Calibri" w:hAnsi="Calibri"/>
                <w:b w:val="false"/>
                <w:bCs w:val="false"/>
                <w:color w:val="1C2B3A"/>
                <w:sz w:val="18"/>
                <w:szCs w:val="18"/>
              </w:rPr>
              <w:t xml:space="preserve">20 min</w:t>
            </w:r>
          </w:p>
        </w:tc>
        <w:tc>
          <w:tcPr>
            <w:tcW w:type="dxa" w:w="25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Two cases</w:t>
            </w:r>
          </w:p>
        </w:tc>
        <w:tc>
          <w:tcPr>
            <w:tcW w:type="dxa" w:w="55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Malta, ten minutes, which carries both flows at once. Tonga, ten minutes, the remittance extreme and the contested colonisation question.</w:t>
            </w:r>
          </w:p>
        </w:tc>
      </w:tr>
      <w:tr>
        <w:trPr>
          <w:tblHeader w:val="false"/>
        </w:trPr>
        <w:tc>
          <w:tcPr>
            <w:tcW w:type="dxa" w:w="1100"/>
            <w:shd w:fill="FAF8F4" w:val="clear"/>
            <w:tcMar>
              <w:top w:type="dxa" w:w="70"/>
              <w:left w:type="dxa" w:w="100"/>
              <w:bottom w:type="dxa" w:w="70"/>
              <w:right w:type="dxa" w:w="100"/>
            </w:tcMar>
          </w:tcPr>
          <w:p>
            <w:pPr>
              <w:spacing w:after="45"/>
            </w:pPr>
            <w:r>
              <w:rPr>
                <w:rFonts w:ascii="Calibri" w:cs="Calibri" w:eastAsia="Calibri" w:hAnsi="Calibri"/>
                <w:b w:val="false"/>
                <w:bCs w:val="false"/>
                <w:color w:val="1C2B3A"/>
                <w:sz w:val="18"/>
                <w:szCs w:val="18"/>
              </w:rPr>
              <w:t xml:space="preserve">13:15</w:t>
            </w:r>
          </w:p>
          <w:p>
            <w:pPr>
              <w:spacing w:after="0"/>
            </w:pPr>
            <w:r>
              <w:rPr>
                <w:rFonts w:ascii="Calibri" w:cs="Calibri" w:eastAsia="Calibri" w:hAnsi="Calibri"/>
                <w:b w:val="false"/>
                <w:bCs w:val="false"/>
                <w:color w:val="1C2B3A"/>
                <w:sz w:val="18"/>
                <w:szCs w:val="18"/>
              </w:rPr>
              <w:t xml:space="preserve">25 min</w:t>
            </w:r>
          </w:p>
        </w:tc>
        <w:tc>
          <w:tcPr>
            <w:tcW w:type="dxa" w:w="2500"/>
            <w:shd w:fill="FAF8F4" w:val="clear"/>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The two framings, written live</w:t>
            </w:r>
          </w:p>
        </w:tc>
        <w:tc>
          <w:tcPr>
            <w:tcW w:type="dxa" w:w="5500"/>
            <w:shd w:fill="FAF8F4" w:val="clear"/>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Students write the vulnerability version in the room, share two or three, and take the agency version away.</w:t>
            </w:r>
          </w:p>
        </w:tc>
      </w:tr>
      <w:tr>
        <w:trPr>
          <w:tblHeader w:val="false"/>
        </w:trPr>
        <w:tc>
          <w:tcPr>
            <w:tcW w:type="dxa" w:w="1100"/>
            <w:tcMar>
              <w:top w:type="dxa" w:w="70"/>
              <w:left w:type="dxa" w:w="100"/>
              <w:bottom w:type="dxa" w:w="70"/>
              <w:right w:type="dxa" w:w="100"/>
            </w:tcMar>
          </w:tcPr>
          <w:p>
            <w:pPr>
              <w:spacing w:after="45"/>
            </w:pPr>
            <w:r>
              <w:rPr>
                <w:rFonts w:ascii="Calibri" w:cs="Calibri" w:eastAsia="Calibri" w:hAnsi="Calibri"/>
                <w:b w:val="false"/>
                <w:bCs w:val="false"/>
                <w:color w:val="1C2B3A"/>
                <w:sz w:val="18"/>
                <w:szCs w:val="18"/>
              </w:rPr>
              <w:t xml:space="preserve">13:40</w:t>
            </w:r>
          </w:p>
          <w:p>
            <w:pPr>
              <w:spacing w:after="0"/>
            </w:pPr>
            <w:r>
              <w:rPr>
                <w:rFonts w:ascii="Calibri" w:cs="Calibri" w:eastAsia="Calibri" w:hAnsi="Calibri"/>
                <w:b w:val="false"/>
                <w:bCs w:val="false"/>
                <w:color w:val="1C2B3A"/>
                <w:sz w:val="18"/>
                <w:szCs w:val="18"/>
              </w:rPr>
              <w:t xml:space="preserve">5 min</w:t>
            </w:r>
          </w:p>
        </w:tc>
        <w:tc>
          <w:tcPr>
            <w:tcW w:type="dxa" w:w="25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Where this is going now</w:t>
            </w:r>
          </w:p>
        </w:tc>
        <w:tc>
          <w:tcPr>
            <w:tcW w:type="dxa" w:w="5500"/>
            <w:tcMar>
              <w:top w:type="dxa" w:w="70"/>
              <w:left w:type="dxa" w:w="100"/>
              <w:bottom w:type="dxa" w:w="70"/>
              <w:right w:type="dxa" w:w="100"/>
            </w:tcMar>
          </w:tcPr>
          <w:p>
            <w:pPr>
              <w:spacing w:after="0"/>
            </w:pPr>
            <w:r>
              <w:rPr>
                <w:rFonts w:ascii="Calibri" w:cs="Calibri" w:eastAsia="Calibri" w:hAnsi="Calibri"/>
                <w:b w:val="false"/>
                <w:bCs w:val="false"/>
                <w:color w:val="1C2B3A"/>
                <w:sz w:val="18"/>
                <w:szCs w:val="18"/>
              </w:rPr>
              <w:t xml:space="preserve">One slide on FAR-SIDS, and why the same disagreement is unresolved in the present tense.</w:t>
            </w:r>
          </w:p>
        </w:tc>
      </w:tr>
    </w:tbl>
    <w:p>
      <w:pPr>
        <w:spacing w:after="110" w:before="290"/>
      </w:pPr>
      <w:r>
        <w:rPr>
          <w:rFonts w:ascii="Calibri" w:cs="Calibri" w:eastAsia="Calibri" w:hAnsi="Calibri"/>
          <w:b/>
          <w:bCs/>
          <w:color w:val="1F3B5C"/>
          <w:sz w:val="25"/>
          <w:szCs w:val="25"/>
        </w:rPr>
        <w:t xml:space="preserve">Opening, five minutes. The map you were not shown</w:t>
      </w:r>
    </w:p>
    <w:p>
      <w:pPr>
        <w:spacing w:after="125" w:line="264"/>
        <w:jc w:val="both"/>
      </w:pPr>
      <w:r>
        <w:rPr>
          <w:rFonts w:ascii="Calibri" w:cs="Calibri" w:eastAsia="Calibri" w:hAnsi="Calibri"/>
          <w:i w:val="false"/>
          <w:iCs w:val="false"/>
          <w:color w:val="1C2B3A"/>
          <w:sz w:val="20"/>
          <w:szCs w:val="20"/>
        </w:rPr>
        <w:t xml:space="preserve">Show the German Empire in 1914 with the Pacific holdings on it and ask how much of that appeared in their own school history. Between 1884 and 1914 Germany held Samoa, Nauru, north eastern New Guinea, the Marshall Islands, and the Carolines and Marianas bought from a defeated Spain in 1899. Germany's colonial reckoning since has concentrated almost entirely on Namibia, culminating in the 2021 recognition of the Herero and Nama genocide. The Pacific has no equivalent in policy or in public memory.</w:t>
      </w:r>
    </w:p>
    <w:p>
      <w:pPr>
        <w:pBdr>
          <w:left w:val="single" w:color="C9541F" w:sz="14" w:space="10"/>
        </w:pBdr>
        <w:spacing w:after="130" w:before="110"/>
      </w:pPr>
      <w:r>
        <w:rPr>
          <w:rFonts w:ascii="Calibri" w:cs="Calibri" w:eastAsia="Calibri" w:hAnsi="Calibri"/>
          <w:color w:val="3A3226"/>
          <w:sz w:val="19"/>
          <w:szCs w:val="19"/>
        </w:rPr>
        <w:t xml:space="preserve">This buys attention and standing in five minutes: it says the person in front of them works on places that were once German, and that their own syllabus had a shape somebody chose. Then leave it. It is a door, not the house. If they want more, the reading list carries it.</w:t>
      </w:r>
    </w:p>
    <w:p>
      <w:pPr>
        <w:spacing w:after="110" w:before="290"/>
      </w:pPr>
      <w:r>
        <w:rPr>
          <w:rFonts w:ascii="Calibri" w:cs="Calibri" w:eastAsia="Calibri" w:hAnsi="Calibri"/>
          <w:b/>
          <w:bCs/>
          <w:color w:val="1F3B5C"/>
          <w:sz w:val="25"/>
          <w:szCs w:val="25"/>
        </w:rPr>
        <w:t xml:space="preserve">Segment one, thirty five minutes. The concepts</w:t>
      </w:r>
    </w:p>
    <w:p>
      <w:pPr>
        <w:spacing w:after="70" w:before="190"/>
      </w:pPr>
      <w:r>
        <w:rPr>
          <w:rFonts w:ascii="Calibri" w:cs="Calibri" w:eastAsia="Calibri" w:hAnsi="Calibri"/>
          <w:b/>
          <w:bCs/>
          <w:color w:val="0E6E7A"/>
          <w:sz w:val="21"/>
          <w:szCs w:val="21"/>
        </w:rPr>
        <w:t xml:space="preserve">A. What dependency meant, structurally, about ten minutes</w:t>
      </w:r>
    </w:p>
    <w:p>
      <w:pPr>
        <w:spacing w:after="125" w:line="264"/>
        <w:jc w:val="both"/>
      </w:pPr>
      <w:r>
        <w:rPr>
          <w:rFonts w:ascii="Calibri" w:cs="Calibri" w:eastAsia="Calibri" w:hAnsi="Calibri"/>
          <w:i w:val="false"/>
          <w:iCs w:val="false"/>
          <w:color w:val="1C2B3A"/>
          <w:sz w:val="20"/>
          <w:szCs w:val="20"/>
        </w:rPr>
        <w:t xml:space="preserve">Start with the physical facts rather than the theory, because the theory only makes sense once the constraint is visible.</w:t>
      </w:r>
    </w:p>
    <w:p>
      <w:pPr>
        <w:pStyle w:val="ListParagraph"/>
        <w:numPr>
          <w:ilvl w:val="0"/>
          <w:numId w:val="2"/>
        </w:numPr>
        <w:spacing w:after="65" w:line="258"/>
      </w:pPr>
      <w:r>
        <w:rPr>
          <w:rFonts w:ascii="Calibri" w:cs="Calibri" w:eastAsia="Calibri" w:hAnsi="Calibri"/>
          <w:sz w:val="20"/>
          <w:szCs w:val="20"/>
        </w:rPr>
        <w:t xml:space="preserve">A domestic market too small to support production at scale, so almost nothing can be made economically for people at home.</w:t>
      </w:r>
    </w:p>
    <w:p>
      <w:pPr>
        <w:pStyle w:val="ListParagraph"/>
        <w:numPr>
          <w:ilvl w:val="0"/>
          <w:numId w:val="2"/>
        </w:numPr>
        <w:spacing w:after="65" w:line="258"/>
      </w:pPr>
      <w:r>
        <w:rPr>
          <w:rFonts w:ascii="Calibri" w:cs="Calibri" w:eastAsia="Calibri" w:hAnsi="Calibri"/>
          <w:sz w:val="20"/>
          <w:szCs w:val="20"/>
        </w:rPr>
        <w:t xml:space="preserve">Export earnings concentrated in one or two commodities, which makes national income a hostage to a price set elsewhere.</w:t>
      </w:r>
    </w:p>
    <w:p>
      <w:pPr>
        <w:pStyle w:val="ListParagraph"/>
        <w:numPr>
          <w:ilvl w:val="0"/>
          <w:numId w:val="2"/>
        </w:numPr>
        <w:spacing w:after="65" w:line="258"/>
      </w:pPr>
      <w:r>
        <w:rPr>
          <w:rFonts w:ascii="Calibri" w:cs="Calibri" w:eastAsia="Calibri" w:hAnsi="Calibri"/>
          <w:sz w:val="20"/>
          <w:szCs w:val="20"/>
        </w:rPr>
        <w:t xml:space="preserve">No capacity to influence that price, and no capacity to absorb a shock internally.</w:t>
      </w:r>
    </w:p>
    <w:p>
      <w:pPr>
        <w:pStyle w:val="ListParagraph"/>
        <w:numPr>
          <w:ilvl w:val="0"/>
          <w:numId w:val="2"/>
        </w:numPr>
        <w:spacing w:after="65" w:line="258"/>
      </w:pPr>
      <w:r>
        <w:rPr>
          <w:rFonts w:ascii="Calibri" w:cs="Calibri" w:eastAsia="Calibri" w:hAnsi="Calibri"/>
          <w:sz w:val="20"/>
          <w:szCs w:val="20"/>
        </w:rPr>
        <w:t xml:space="preserve">Therefore a structural reliance on flows from outside: colonial transfers, rent for strategic position, foreign aid after 1945, and money sent home by emigrants.</w:t>
      </w:r>
    </w:p>
    <w:p>
      <w:pPr>
        <w:spacing w:after="125" w:line="264"/>
        <w:jc w:val="both"/>
      </w:pPr>
      <w:r>
        <w:rPr>
          <w:rFonts w:ascii="Calibri" w:cs="Calibri" w:eastAsia="Calibri" w:hAnsi="Calibri"/>
          <w:i w:val="false"/>
          <w:iCs w:val="false"/>
          <w:color w:val="1C2B3A"/>
          <w:sz w:val="20"/>
          <w:szCs w:val="20"/>
        </w:rPr>
        <w:t xml:space="preserve">Then define the two flows and say when they became things a state could count. Official development assistance is a postwar invention, running from the Marshall Plan in 1948 through the creation of the OECD Development Assistance Committee in 1961, which is when aid became a category with rules and a ledger. Migrant remittances became visible at roughly the same time, as balance of payments accounting matured. This is worth saying to historians: both flows are older than their measurement, so the archive of the flow and the archive of the number do not begin in the same place.</w:t>
      </w:r>
    </w:p>
    <w:p>
      <w:pPr>
        <w:spacing w:after="70" w:before="190"/>
      </w:pPr>
      <w:r>
        <w:rPr>
          <w:rFonts w:ascii="Calibri" w:cs="Calibri" w:eastAsia="Calibri" w:hAnsi="Calibri"/>
          <w:b/>
          <w:bCs/>
          <w:color w:val="0E6E7A"/>
          <w:sz w:val="21"/>
          <w:szCs w:val="21"/>
        </w:rPr>
        <w:t xml:space="preserve">B. The nexus, and MIRAB, about eight minutes</w:t>
      </w:r>
    </w:p>
    <w:p>
      <w:pPr>
        <w:spacing w:after="125" w:line="264"/>
        <w:jc w:val="both"/>
      </w:pPr>
      <w:r>
        <w:rPr>
          <w:rFonts w:ascii="Calibri" w:cs="Calibri" w:eastAsia="Calibri" w:hAnsi="Calibri"/>
          <w:i w:val="false"/>
          <w:iCs w:val="false"/>
          <w:color w:val="1C2B3A"/>
          <w:sz w:val="20"/>
          <w:szCs w:val="20"/>
        </w:rPr>
        <w:t xml:space="preserve">The two flows are usually studied apart. The literature on very small states is where they were first put together.</w:t>
      </w:r>
    </w:p>
    <w:p>
      <w:pPr>
        <w:pStyle w:val="ListParagraph"/>
        <w:numPr>
          <w:ilvl w:val="0"/>
          <w:numId w:val="2"/>
        </w:numPr>
        <w:spacing w:after="65" w:line="258"/>
      </w:pPr>
      <w:r>
        <w:rPr>
          <w:rFonts w:ascii="Calibri" w:cs="Calibri" w:eastAsia="Calibri" w:hAnsi="Calibri"/>
          <w:b/>
          <w:bCs/>
          <w:sz w:val="20"/>
          <w:szCs w:val="20"/>
        </w:rPr>
        <w:t xml:space="preserve">MIRAB, Bertram and Watters 1985. </w:t>
      </w:r>
      <w:r>
        <w:rPr>
          <w:rFonts w:ascii="Calibri" w:cs="Calibri" w:eastAsia="Calibri" w:hAnsi="Calibri"/>
          <w:sz w:val="20"/>
          <w:szCs w:val="20"/>
        </w:rPr>
        <w:t xml:space="preserve">Migration, remittances, aid and bureaucracy. The claim is that in the smallest island economies these four are not features of the economy, they are the economy: people leave, money comes back, aid funds the state, and the state employs those who stayed. An economy running on what it receives rather than on what it produces.</w:t>
      </w:r>
    </w:p>
    <w:p>
      <w:pPr>
        <w:pStyle w:val="ListParagraph"/>
        <w:numPr>
          <w:ilvl w:val="0"/>
          <w:numId w:val="2"/>
        </w:numPr>
        <w:spacing w:after="65" w:line="258"/>
      </w:pPr>
      <w:r>
        <w:rPr>
          <w:rFonts w:ascii="Calibri" w:cs="Calibri" w:eastAsia="Calibri" w:hAnsi="Calibri"/>
          <w:b/>
          <w:bCs/>
          <w:sz w:val="20"/>
          <w:szCs w:val="20"/>
        </w:rPr>
        <w:t xml:space="preserve">Welfare colonialism, Paine 1977. </w:t>
      </w:r>
      <w:r>
        <w:rPr>
          <w:rFonts w:ascii="Calibri" w:cs="Calibri" w:eastAsia="Calibri" w:hAnsi="Calibri"/>
          <w:sz w:val="20"/>
          <w:szCs w:val="20"/>
        </w:rPr>
        <w:t xml:space="preserve">The sharpest version of the imposed reading, formulated from the Canadian Arctic. A metropolitan power grants generous welfare, and the generosity itself is debilitating, because material conditions improve while the capacity to provide for oneself withers. It travelled to Australian and North American Indigenous policy and, in Europe, to Greenland and Denmark.</w:t>
      </w:r>
    </w:p>
    <w:p>
      <w:pPr>
        <w:pStyle w:val="ListParagraph"/>
        <w:numPr>
          <w:ilvl w:val="0"/>
          <w:numId w:val="2"/>
        </w:numPr>
        <w:spacing w:after="65" w:line="258"/>
      </w:pPr>
      <w:r>
        <w:rPr>
          <w:rFonts w:ascii="Calibri" w:cs="Calibri" w:eastAsia="Calibri" w:hAnsi="Calibri"/>
          <w:b/>
          <w:bCs/>
          <w:sz w:val="20"/>
          <w:szCs w:val="20"/>
        </w:rPr>
        <w:t xml:space="preserve">The uncomfortable fact. </w:t>
      </w:r>
      <w:r>
        <w:rPr>
          <w:rFonts w:ascii="Calibri" w:cs="Calibri" w:eastAsia="Calibri" w:hAnsi="Calibri"/>
          <w:sz w:val="20"/>
          <w:szCs w:val="20"/>
        </w:rPr>
        <w:t xml:space="preserve">Work on political dependence finds that islands which stayed politically attached to a metropole do materially better on almost every measure of wellbeing than those that took sovereignty. That puts a price on independence, and it is the hardest thing in this seminar to teach honestly.</w:t>
      </w:r>
    </w:p>
    <w:p>
      <w:pPr>
        <w:spacing w:after="70" w:before="190"/>
      </w:pPr>
      <w:r>
        <w:rPr>
          <w:rFonts w:ascii="Calibri" w:cs="Calibri" w:eastAsia="Calibri" w:hAnsi="Calibri"/>
          <w:b/>
          <w:bCs/>
          <w:color w:val="0E6E7A"/>
          <w:sz w:val="21"/>
          <w:szCs w:val="21"/>
        </w:rPr>
        <w:t xml:space="preserve">C. Where the concept came from, about eight minutes</w:t>
      </w:r>
    </w:p>
    <w:p>
      <w:pPr>
        <w:spacing w:after="125" w:line="264"/>
        <w:jc w:val="both"/>
      </w:pPr>
      <w:r>
        <w:rPr>
          <w:rFonts w:ascii="Calibri" w:cs="Calibri" w:eastAsia="Calibri" w:hAnsi="Calibri"/>
          <w:i w:val="false"/>
          <w:iCs w:val="false"/>
          <w:color w:val="1C2B3A"/>
          <w:sz w:val="20"/>
          <w:szCs w:val="20"/>
        </w:rPr>
        <w:t xml:space="preserve">Keep this brisk and intellectual historical. The students need to know dependency is a body of thought with a date, not a mood.</w:t>
      </w:r>
    </w:p>
    <w:p>
      <w:pPr>
        <w:pStyle w:val="ListParagraph"/>
        <w:numPr>
          <w:ilvl w:val="0"/>
          <w:numId w:val="2"/>
        </w:numPr>
        <w:spacing w:after="65" w:line="258"/>
      </w:pPr>
      <w:r>
        <w:rPr>
          <w:rFonts w:ascii="Calibri" w:cs="Calibri" w:eastAsia="Calibri" w:hAnsi="Calibri"/>
          <w:b/>
          <w:bCs/>
          <w:sz w:val="20"/>
          <w:szCs w:val="20"/>
        </w:rPr>
        <w:t xml:space="preserve">Prebisch and Singer, 1950. </w:t>
      </w:r>
      <w:r>
        <w:rPr>
          <w:rFonts w:ascii="Calibri" w:cs="Calibri" w:eastAsia="Calibri" w:hAnsi="Calibri"/>
          <w:sz w:val="20"/>
          <w:szCs w:val="20"/>
        </w:rPr>
        <w:t xml:space="preserve">The terms of trade thesis. Commodity exporters face a secular decline against exporters of manufactures, so the periphery runs to stand still.</w:t>
      </w:r>
    </w:p>
    <w:p>
      <w:pPr>
        <w:pStyle w:val="ListParagraph"/>
        <w:numPr>
          <w:ilvl w:val="0"/>
          <w:numId w:val="2"/>
        </w:numPr>
        <w:spacing w:after="65" w:line="258"/>
      </w:pPr>
      <w:r>
        <w:rPr>
          <w:rFonts w:ascii="Calibri" w:cs="Calibri" w:eastAsia="Calibri" w:hAnsi="Calibri"/>
          <w:b/>
          <w:bCs/>
          <w:sz w:val="20"/>
          <w:szCs w:val="20"/>
        </w:rPr>
        <w:t xml:space="preserve">Frank, 1966. </w:t>
      </w:r>
      <w:r>
        <w:rPr>
          <w:rFonts w:ascii="Calibri" w:cs="Calibri" w:eastAsia="Calibri" w:hAnsi="Calibri"/>
          <w:sz w:val="20"/>
          <w:szCs w:val="20"/>
        </w:rPr>
        <w:t xml:space="preserve">The development of underdevelopment. Underdevelopment is not a prior condition but a product of the same process that developed the metropoles. The most deterministic version, and it leaves the periphery no agency at all.</w:t>
      </w:r>
    </w:p>
    <w:p>
      <w:pPr>
        <w:pStyle w:val="ListParagraph"/>
        <w:numPr>
          <w:ilvl w:val="0"/>
          <w:numId w:val="2"/>
        </w:numPr>
        <w:spacing w:after="65" w:line="258"/>
      </w:pPr>
      <w:r>
        <w:rPr>
          <w:rFonts w:ascii="Calibri" w:cs="Calibri" w:eastAsia="Calibri" w:hAnsi="Calibri"/>
          <w:b/>
          <w:bCs/>
          <w:sz w:val="20"/>
          <w:szCs w:val="20"/>
        </w:rPr>
        <w:t xml:space="preserve">Cardoso and Faletto, 1969. </w:t>
      </w:r>
      <w:r>
        <w:rPr>
          <w:rFonts w:ascii="Calibri" w:cs="Calibri" w:eastAsia="Calibri" w:hAnsi="Calibri"/>
          <w:sz w:val="20"/>
          <w:szCs w:val="20"/>
        </w:rPr>
        <w:t xml:space="preserve">Dependent development. Dependency is a situation rather than a fate, analysed case by case, and domestic coalitions can bargain within it. This is the version a historian can use, and it is the permission slip for everything that follows in the seminar.</w:t>
      </w:r>
    </w:p>
    <w:p>
      <w:pPr>
        <w:pStyle w:val="ListParagraph"/>
        <w:numPr>
          <w:ilvl w:val="0"/>
          <w:numId w:val="2"/>
        </w:numPr>
        <w:spacing w:after="65" w:line="258"/>
      </w:pPr>
      <w:r>
        <w:rPr>
          <w:rFonts w:ascii="Calibri" w:cs="Calibri" w:eastAsia="Calibri" w:hAnsi="Calibri"/>
          <w:b/>
          <w:bCs/>
          <w:sz w:val="20"/>
          <w:szCs w:val="20"/>
        </w:rPr>
        <w:t xml:space="preserve">Amin, 1973. </w:t>
      </w:r>
      <w:r>
        <w:rPr>
          <w:rFonts w:ascii="Calibri" w:cs="Calibri" w:eastAsia="Calibri" w:hAnsi="Calibri"/>
          <w:sz w:val="20"/>
          <w:szCs w:val="20"/>
        </w:rPr>
        <w:t xml:space="preserve">Peripheral capitalism: an economy oriented outward rather than toward its own population.</w:t>
      </w:r>
    </w:p>
    <w:p>
      <w:pPr>
        <w:pStyle w:val="ListParagraph"/>
        <w:numPr>
          <w:ilvl w:val="0"/>
          <w:numId w:val="2"/>
        </w:numPr>
        <w:spacing w:after="65" w:line="258"/>
      </w:pPr>
      <w:r>
        <w:rPr>
          <w:rFonts w:ascii="Calibri" w:cs="Calibri" w:eastAsia="Calibri" w:hAnsi="Calibri"/>
          <w:b/>
          <w:bCs/>
          <w:sz w:val="20"/>
          <w:szCs w:val="20"/>
        </w:rPr>
        <w:t xml:space="preserve">Why it fell, and why it is back. </w:t>
      </w:r>
      <w:r>
        <w:rPr>
          <w:rFonts w:ascii="Calibri" w:cs="Calibri" w:eastAsia="Calibri" w:hAnsi="Calibri"/>
          <w:sz w:val="20"/>
          <w:szCs w:val="20"/>
        </w:rPr>
        <w:t xml:space="preserve">East Asian industrialisation falsified the strong version, the debt crisis of the 1980s discredited the policy programme, and postcolonial critics objected to a metanarrative treating the periphery as one bloc. Kvangraven argued in 2021 that the caricature the critics attacked was never the whole tradition, and it has been revived across the 2020s.</w:t>
      </w:r>
    </w:p>
    <w:p>
      <w:pPr>
        <w:spacing w:after="70" w:before="190"/>
      </w:pPr>
      <w:r>
        <w:rPr>
          <w:rFonts w:ascii="Calibri" w:cs="Calibri" w:eastAsia="Calibri" w:hAnsi="Calibri"/>
          <w:b/>
          <w:bCs/>
          <w:color w:val="0E6E7A"/>
          <w:sz w:val="21"/>
          <w:szCs w:val="21"/>
        </w:rPr>
        <w:t xml:space="preserve">D. The turn, about nine minutes. Agency</w:t>
      </w:r>
    </w:p>
    <w:p>
      <w:pPr>
        <w:spacing w:after="125" w:line="264"/>
        <w:jc w:val="both"/>
      </w:pPr>
      <w:r>
        <w:rPr>
          <w:rFonts w:ascii="Calibri" w:cs="Calibri" w:eastAsia="Calibri" w:hAnsi="Calibri"/>
          <w:i w:val="false"/>
          <w:iCs w:val="false"/>
          <w:color w:val="1C2B3A"/>
          <w:sz w:val="20"/>
          <w:szCs w:val="20"/>
        </w:rPr>
        <w:t xml:space="preserve">This is the central claim of the seminar and it should be delivered as a claim, not as balance. Small states were not passive recipients. They negotiated aid terms, they built and maintained remittance sending diasporas, and they used both flows as instruments.</w:t>
      </w:r>
    </w:p>
    <w:p>
      <w:pPr>
        <w:pStyle w:val="ListParagraph"/>
        <w:numPr>
          <w:ilvl w:val="0"/>
          <w:numId w:val="2"/>
        </w:numPr>
        <w:spacing w:after="65" w:line="258"/>
      </w:pPr>
      <w:r>
        <w:rPr>
          <w:rFonts w:ascii="Calibri" w:cs="Calibri" w:eastAsia="Calibri" w:hAnsi="Calibri"/>
          <w:b/>
          <w:bCs/>
          <w:sz w:val="20"/>
          <w:szCs w:val="20"/>
        </w:rPr>
        <w:t xml:space="preserve">Katzenstein, 1985. </w:t>
      </w:r>
      <w:r>
        <w:rPr>
          <w:rFonts w:ascii="Calibri" w:cs="Calibri" w:eastAsia="Calibri" w:hAnsi="Calibri"/>
          <w:sz w:val="20"/>
          <w:szCs w:val="20"/>
        </w:rPr>
        <w:t xml:space="preserve">On the European small states: exposure to volatile world markets did not produce helplessness, it produced democratic corporatism, centralised bargaining and institutional flexibility. Vulnerability was the cause of the institutions, not their opposite. His own later image is that small states cannot soar like eagles but always land on their feet.</w:t>
      </w:r>
    </w:p>
    <w:p>
      <w:pPr>
        <w:pStyle w:val="ListParagraph"/>
        <w:numPr>
          <w:ilvl w:val="0"/>
          <w:numId w:val="2"/>
        </w:numPr>
        <w:spacing w:after="65" w:line="258"/>
      </w:pPr>
      <w:r>
        <w:rPr>
          <w:rFonts w:ascii="Calibri" w:cs="Calibri" w:eastAsia="Calibri" w:hAnsi="Calibri"/>
          <w:b/>
          <w:bCs/>
          <w:sz w:val="20"/>
          <w:szCs w:val="20"/>
        </w:rPr>
        <w:t xml:space="preserve">Annette Baker Fox, 1959. </w:t>
      </w:r>
      <w:r>
        <w:rPr>
          <w:rFonts w:ascii="Calibri" w:cs="Calibri" w:eastAsia="Calibri" w:hAnsi="Calibri"/>
          <w:sz w:val="20"/>
          <w:szCs w:val="20"/>
        </w:rPr>
        <w:t xml:space="preserve">On the wartime neutrals. Sweden, Switzerland, Turkey and Spain preserved room for manoeuvre between the great powers through active diplomacy rather than passive shelter. Written in 1959 and still the cleanest demonstration that weakness and helplessness are different things.</w:t>
      </w:r>
    </w:p>
    <w:p>
      <w:pPr>
        <w:pStyle w:val="ListParagraph"/>
        <w:numPr>
          <w:ilvl w:val="0"/>
          <w:numId w:val="2"/>
        </w:numPr>
        <w:spacing w:after="65" w:line="258"/>
      </w:pPr>
      <w:r>
        <w:rPr>
          <w:rFonts w:ascii="Calibri" w:cs="Calibri" w:eastAsia="Calibri" w:hAnsi="Calibri"/>
          <w:b/>
          <w:bCs/>
          <w:sz w:val="20"/>
          <w:szCs w:val="20"/>
        </w:rPr>
        <w:t xml:space="preserve">Baldacchino, 2006. </w:t>
      </w:r>
      <w:r>
        <w:rPr>
          <w:rFonts w:ascii="Calibri" w:cs="Calibri" w:eastAsia="Calibri" w:hAnsi="Calibri"/>
          <w:sz w:val="20"/>
          <w:szCs w:val="20"/>
        </w:rPr>
        <w:t xml:space="preserve">Two ideal type strategies for small island territories, and the wider argument that declining to take full sovereignty can itself be a strategy rather than a failure.</w:t>
      </w:r>
    </w:p>
    <w:p>
      <w:pPr>
        <w:pStyle w:val="ListParagraph"/>
        <w:numPr>
          <w:ilvl w:val="0"/>
          <w:numId w:val="2"/>
        </w:numPr>
        <w:spacing w:after="65" w:line="258"/>
      </w:pPr>
      <w:r>
        <w:rPr>
          <w:rFonts w:ascii="Calibri" w:cs="Calibri" w:eastAsia="Calibri" w:hAnsi="Calibri"/>
          <w:b/>
          <w:bCs/>
          <w:sz w:val="20"/>
          <w:szCs w:val="20"/>
        </w:rPr>
        <w:t xml:space="preserve">Thorhallsson's shelter theory. </w:t>
      </w:r>
      <w:r>
        <w:rPr>
          <w:rFonts w:ascii="Calibri" w:cs="Calibri" w:eastAsia="Calibri" w:hAnsi="Calibri"/>
          <w:sz w:val="20"/>
          <w:szCs w:val="20"/>
        </w:rPr>
        <w:t xml:space="preserve">Small states actively seek political, economic and societal shelter. Choosing a protector is an exercise of agency, not a surrender of it.</w:t>
      </w:r>
    </w:p>
    <w:p>
      <w:pPr>
        <w:pBdr>
          <w:left w:val="single" w:color="C9541F" w:sz="14" w:space="10"/>
        </w:pBdr>
        <w:spacing w:after="130" w:before="110"/>
      </w:pPr>
      <w:r>
        <w:rPr>
          <w:rFonts w:ascii="Calibri" w:cs="Calibri" w:eastAsia="Calibri" w:hAnsi="Calibri"/>
          <w:color w:val="3A3226"/>
          <w:sz w:val="19"/>
          <w:szCs w:val="19"/>
        </w:rPr>
        <w:t xml:space="preserve">Land the segment on the historiographical point rather than on a verdict. Two competent literatures, reading the same kinds of records, reaching opposite conclusions. That is not a gap in the evidence. It is a disagreement about what evidence is for.</w:t>
      </w:r>
    </w:p>
    <w:p>
      <w:pPr>
        <w:spacing w:after="110" w:before="290"/>
      </w:pPr>
      <w:r>
        <w:rPr>
          <w:rFonts w:ascii="Calibri" w:cs="Calibri" w:eastAsia="Calibri" w:hAnsi="Calibri"/>
          <w:b/>
          <w:bCs/>
          <w:color w:val="1F3B5C"/>
          <w:sz w:val="25"/>
          <w:szCs w:val="25"/>
        </w:rPr>
        <w:t xml:space="preserve">Segment two, twenty minutes. Two cases</w:t>
      </w:r>
    </w:p>
    <w:p>
      <w:pPr>
        <w:spacing w:after="125" w:line="264"/>
        <w:jc w:val="both"/>
      </w:pPr>
      <w:r>
        <w:rPr>
          <w:rFonts w:ascii="Calibri" w:cs="Calibri" w:eastAsia="Calibri" w:hAnsi="Calibri"/>
          <w:i w:val="false"/>
          <w:iCs w:val="false"/>
          <w:color w:val="1C2B3A"/>
          <w:sz w:val="20"/>
          <w:szCs w:val="20"/>
        </w:rPr>
        <w:t xml:space="preserve">Two cases, ten minutes each, chosen because between them they hold both flows and both readings. Malta is the European case in the course's own frame and it carries aid and remittances at once. Tonga is the island case from my own work and it is the remittance extreme.</w:t>
      </w:r>
    </w:p>
    <w:p>
      <w:pPr>
        <w:spacing w:after="70" w:before="190"/>
      </w:pPr>
      <w:r>
        <w:rPr>
          <w:rFonts w:ascii="Calibri" w:cs="Calibri" w:eastAsia="Calibri" w:hAnsi="Calibri"/>
          <w:b/>
          <w:bCs/>
          <w:color w:val="0E6E7A"/>
          <w:sz w:val="21"/>
          <w:szCs w:val="21"/>
        </w:rPr>
        <w:t xml:space="preserve">Malta, ten minutes. A state managing two dependencies at the same time</w:t>
      </w:r>
    </w:p>
    <w:p>
      <w:pPr>
        <w:spacing w:after="60" w:before="150"/>
      </w:pPr>
      <w:r>
        <w:rPr>
          <w:rFonts w:ascii="Calibri" w:cs="Calibri" w:eastAsia="Calibri" w:hAnsi="Calibri"/>
          <w:b/>
          <w:bCs/>
          <w:color w:val="C9541F"/>
          <w:sz w:val="20"/>
          <w:szCs w:val="20"/>
        </w:rPr>
        <w:t xml:space="preserve">The aid and base rent side</w:t>
      </w:r>
    </w:p>
    <w:p>
      <w:pPr>
        <w:pStyle w:val="ListParagraph"/>
        <w:numPr>
          <w:ilvl w:val="0"/>
          <w:numId w:val="2"/>
        </w:numPr>
        <w:spacing w:after="65" w:line="258"/>
      </w:pPr>
      <w:r>
        <w:rPr>
          <w:rFonts w:ascii="Calibri" w:cs="Calibri" w:eastAsia="Calibri" w:hAnsi="Calibri"/>
          <w:sz w:val="20"/>
          <w:szCs w:val="20"/>
        </w:rPr>
        <w:t xml:space="preserve">A fortress colony whose economy was the British naval dockyard. In the early 1960s British military establishments accounted for about fifteen per cent of gross domestic product, which is to say the largest sector of the economy existed because of somebody else's strategy.</w:t>
      </w:r>
    </w:p>
    <w:p>
      <w:pPr>
        <w:pStyle w:val="ListParagraph"/>
        <w:numPr>
          <w:ilvl w:val="0"/>
          <w:numId w:val="2"/>
        </w:numPr>
        <w:spacing w:after="65" w:line="258"/>
      </w:pPr>
      <w:r>
        <w:rPr>
          <w:rFonts w:ascii="Calibri" w:cs="Calibri" w:eastAsia="Calibri" w:hAnsi="Calibri"/>
          <w:sz w:val="20"/>
          <w:szCs w:val="20"/>
        </w:rPr>
        <w:t xml:space="preserve">Independence in 1964 arrived together with a financial and defence agreement guaranteeing British aid and defence spending for ten years. Formal sovereignty and continued subsidy were negotiated in the same room.</w:t>
      </w:r>
    </w:p>
    <w:p>
      <w:pPr>
        <w:pStyle w:val="ListParagraph"/>
        <w:numPr>
          <w:ilvl w:val="0"/>
          <w:numId w:val="2"/>
        </w:numPr>
        <w:spacing w:after="65" w:line="258"/>
      </w:pPr>
      <w:r>
        <w:rPr>
          <w:rFonts w:ascii="Calibri" w:cs="Calibri" w:eastAsia="Calibri" w:hAnsi="Calibri"/>
          <w:sz w:val="20"/>
          <w:szCs w:val="20"/>
        </w:rPr>
        <w:t xml:space="preserve">In 1972 Mintoff renegotiated the agreement for a substantially higher payment for base facilities, spread across NATO allies, using the credible possibility of Libyan and Warsaw Pact alternatives as leverage. American diplomatic cables from the period record the manoeuvre in detail and make excellent teaching material.</w:t>
      </w:r>
    </w:p>
    <w:p>
      <w:pPr>
        <w:pStyle w:val="ListParagraph"/>
        <w:numPr>
          <w:ilvl w:val="0"/>
          <w:numId w:val="2"/>
        </w:numPr>
        <w:spacing w:after="65" w:line="258"/>
      </w:pPr>
      <w:r>
        <w:rPr>
          <w:rFonts w:ascii="Calibri" w:cs="Calibri" w:eastAsia="Calibri" w:hAnsi="Calibri"/>
          <w:sz w:val="20"/>
          <w:szCs w:val="20"/>
        </w:rPr>
        <w:t xml:space="preserve">The British left on 31 March 1979, still marked as Freedom Day, and the base share of the economy went to zero.</w:t>
      </w:r>
    </w:p>
    <w:p>
      <w:pPr>
        <w:spacing w:after="60" w:before="150"/>
      </w:pPr>
      <w:r>
        <w:rPr>
          <w:rFonts w:ascii="Calibri" w:cs="Calibri" w:eastAsia="Calibri" w:hAnsi="Calibri"/>
          <w:b/>
          <w:bCs/>
          <w:color w:val="C9541F"/>
          <w:sz w:val="20"/>
          <w:szCs w:val="20"/>
        </w:rPr>
        <w:t xml:space="preserve">The remittance side, which is the half the first draft lost</w:t>
      </w:r>
    </w:p>
    <w:p>
      <w:pPr>
        <w:pStyle w:val="ListParagraph"/>
        <w:numPr>
          <w:ilvl w:val="0"/>
          <w:numId w:val="2"/>
        </w:numPr>
        <w:spacing w:after="65" w:line="258"/>
      </w:pPr>
      <w:r>
        <w:rPr>
          <w:rFonts w:ascii="Calibri" w:cs="Calibri" w:eastAsia="Calibri" w:hAnsi="Calibri"/>
          <w:sz w:val="20"/>
          <w:szCs w:val="20"/>
        </w:rPr>
        <w:t xml:space="preserve">Between 1946 and the late 1970s more than 140,000 Maltese emigrated under the assisted passage scheme run by Malta's own Emigration Department, which met part of the cost of leaving. Roughly 58 per cent went to Australia, 22 per cent to the United Kingdom, 13 per cent to Canada and 7 per cent to the United States.</w:t>
      </w:r>
    </w:p>
    <w:p>
      <w:pPr>
        <w:pStyle w:val="ListParagraph"/>
        <w:numPr>
          <w:ilvl w:val="0"/>
          <w:numId w:val="2"/>
        </w:numPr>
        <w:spacing w:after="65" w:line="258"/>
      </w:pPr>
      <w:r>
        <w:rPr>
          <w:rFonts w:ascii="Calibri" w:cs="Calibri" w:eastAsia="Calibri" w:hAnsi="Calibri"/>
          <w:sz w:val="20"/>
          <w:szCs w:val="20"/>
        </w:rPr>
        <w:t xml:space="preserve">Between 1948 and 1967 around thirty per cent of the population left. For a country of roughly three hundred thousand people this is not migration as a social fact, it is migration as a state programme.</w:t>
      </w:r>
    </w:p>
    <w:p>
      <w:pPr>
        <w:pStyle w:val="ListParagraph"/>
        <w:numPr>
          <w:ilvl w:val="0"/>
          <w:numId w:val="2"/>
        </w:numPr>
        <w:spacing w:after="65" w:line="258"/>
      </w:pPr>
      <w:r>
        <w:rPr>
          <w:rFonts w:ascii="Calibri" w:cs="Calibri" w:eastAsia="Calibri" w:hAnsi="Calibri"/>
          <w:sz w:val="20"/>
          <w:szCs w:val="20"/>
        </w:rPr>
        <w:t xml:space="preserve">Briguglio's account of the period is explicit that in the difficult years of 1960 to 1964 emigration was singled out as a tool of policy. The state was not watching its people leave. It was organising it, and paying for it.</w:t>
      </w:r>
    </w:p>
    <w:p>
      <w:pPr>
        <w:pStyle w:val="ListParagraph"/>
        <w:numPr>
          <w:ilvl w:val="0"/>
          <w:numId w:val="2"/>
        </w:numPr>
        <w:spacing w:after="65" w:line="258"/>
      </w:pPr>
      <w:r>
        <w:rPr>
          <w:rFonts w:ascii="Calibri" w:cs="Calibri" w:eastAsia="Calibri" w:hAnsi="Calibri"/>
          <w:sz w:val="20"/>
          <w:szCs w:val="20"/>
        </w:rPr>
        <w:t xml:space="preserve">Foreign transfers into Malta, including remittances and pensions, rose from about 4.2 million Maltese lira in the period 1960 to 1964 to about 28.8 million in 1980 to 1984, offsetting a chronic merchandise trade deficit.</w:t>
      </w:r>
    </w:p>
    <w:p>
      <w:pPr>
        <w:pStyle w:val="ListParagraph"/>
        <w:numPr>
          <w:ilvl w:val="0"/>
          <w:numId w:val="2"/>
        </w:numPr>
        <w:spacing w:after="65" w:line="258"/>
      </w:pPr>
      <w:r>
        <w:rPr>
          <w:rFonts w:ascii="Calibri" w:cs="Calibri" w:eastAsia="Calibri" w:hAnsi="Calibri"/>
          <w:sz w:val="20"/>
          <w:szCs w:val="20"/>
        </w:rPr>
        <w:t xml:space="preserve">Meanwhile manufacturing rose from about seventeen per cent of gross domestic product in the early 1960s to roughly a third by the late 1970s. The restructuring was deliberate and it was timed against the base rundown.</w:t>
      </w:r>
    </w:p>
    <w:p>
      <w:pPr>
        <w:pBdr>
          <w:left w:val="single" w:color="C9541F" w:sz="14" w:space="10"/>
        </w:pBdr>
        <w:spacing w:after="130" w:before="110"/>
      </w:pPr>
      <w:r>
        <w:rPr>
          <w:rFonts w:ascii="Calibri" w:cs="Calibri" w:eastAsia="Calibri" w:hAnsi="Calibri"/>
          <w:color w:val="3A3226"/>
          <w:sz w:val="19"/>
          <w:szCs w:val="19"/>
        </w:rPr>
        <w:t xml:space="preserve">Malta is the case that makes the seminar's argument on its own. It priced its strategic position, it exported its own population as declared policy, it took the money both arrangements generated, and it used the expiry date on the first as the deadline for building something else. Whether that reads as agency or as a fifteen year stay of execution is exactly what the assessment asks students to write twice.</w:t>
      </w:r>
    </w:p>
    <w:p>
      <w:pPr>
        <w:spacing w:after="70" w:before="190"/>
      </w:pPr>
      <w:r>
        <w:rPr>
          <w:rFonts w:ascii="Calibri" w:cs="Calibri" w:eastAsia="Calibri" w:hAnsi="Calibri"/>
          <w:b/>
          <w:bCs/>
          <w:color w:val="0E6E7A"/>
          <w:sz w:val="21"/>
          <w:szCs w:val="21"/>
        </w:rPr>
        <w:t xml:space="preserve">Tonga, ten minutes. The remittance extreme, and an argument about whether it was ever colonised</w:t>
      </w:r>
    </w:p>
    <w:p>
      <w:pPr>
        <w:pStyle w:val="ListParagraph"/>
        <w:numPr>
          <w:ilvl w:val="0"/>
          <w:numId w:val="2"/>
        </w:numPr>
        <w:spacing w:after="65" w:line="258"/>
      </w:pPr>
      <w:r>
        <w:rPr>
          <w:rFonts w:ascii="Calibri" w:cs="Calibri" w:eastAsia="Calibri" w:hAnsi="Calibri"/>
          <w:sz w:val="20"/>
          <w:szCs w:val="20"/>
        </w:rPr>
        <w:t xml:space="preserve">Tonga was never annexed. The 1875 constitution under King George Tupou I made land inalienable to foreigners, which removed the mechanism by which settler and plantation interests took over other Pacific territories. The 1900 Treaty of Friendship made Tonga a British protected state, with Britain running external relations while the monarchy kept internal sovereignty. Full independence came in 1970.</w:t>
      </w:r>
    </w:p>
    <w:p>
      <w:pPr>
        <w:pStyle w:val="ListParagraph"/>
        <w:numPr>
          <w:ilvl w:val="0"/>
          <w:numId w:val="2"/>
        </w:numPr>
        <w:spacing w:after="65" w:line="258"/>
      </w:pPr>
      <w:r>
        <w:rPr>
          <w:rFonts w:ascii="Calibri" w:cs="Calibri" w:eastAsia="Calibri" w:hAnsi="Calibri"/>
          <w:sz w:val="20"/>
          <w:szCs w:val="20"/>
        </w:rPr>
        <w:t xml:space="preserve">From the 1960s onward Tongans left in very large numbers for New Zealand, Australia and the United States. Today Tonga is the most remittance dependent economy in the world: the World Bank's 2024 brief put remittances at about 41 per cent of gross domestic product, the highest share of any country.</w:t>
      </w:r>
    </w:p>
    <w:p>
      <w:pPr>
        <w:pStyle w:val="ListParagraph"/>
        <w:numPr>
          <w:ilvl w:val="0"/>
          <w:numId w:val="2"/>
        </w:numPr>
        <w:spacing w:after="65" w:line="258"/>
      </w:pPr>
      <w:r>
        <w:rPr>
          <w:rFonts w:ascii="Calibri" w:cs="Calibri" w:eastAsia="Calibri" w:hAnsi="Calibri"/>
          <w:sz w:val="20"/>
          <w:szCs w:val="20"/>
        </w:rPr>
        <w:t xml:space="preserve">The corridor is partly manufactured by policy. New Zealand's Recognised Seasonal Employer scheme and Australia's Pacific Australia Labour Mobility scheme together involve roughly one in five working age Tongan men. Neither scheme is wholly aid: the OECD rules them only partly eligible as development assistance, and the New Zealand scheme's operating costs are not aid at all because its first purpose is filling New Zealand labour shortages.</w:t>
      </w:r>
    </w:p>
    <w:p>
      <w:pPr>
        <w:pStyle w:val="ListParagraph"/>
        <w:numPr>
          <w:ilvl w:val="0"/>
          <w:numId w:val="2"/>
        </w:numPr>
        <w:spacing w:after="65" w:line="258"/>
      </w:pPr>
      <w:r>
        <w:rPr>
          <w:rFonts w:ascii="Calibri" w:cs="Calibri" w:eastAsia="Calibri" w:hAnsi="Calibri"/>
          <w:sz w:val="20"/>
          <w:szCs w:val="20"/>
        </w:rPr>
        <w:t xml:space="preserve">The mainstream historical reading treats the constitution and the treaty as small state agency working. A critical Indigenous studies reading published in 2024 contests the never colonised narrative directly, arguing that formal non annexation coexisted with real coloniality through missionisation, unequal treaty relations and gendered transformation.</w:t>
      </w:r>
    </w:p>
    <w:p>
      <w:pPr>
        <w:pBdr>
          <w:left w:val="single" w:color="C9541F" w:sz="14" w:space="10"/>
        </w:pBdr>
        <w:spacing w:after="130" w:before="110"/>
      </w:pPr>
      <w:r>
        <w:rPr>
          <w:rFonts w:ascii="Calibri" w:cs="Calibri" w:eastAsia="Calibri" w:hAnsi="Calibri"/>
          <w:color w:val="3A3226"/>
          <w:sz w:val="19"/>
          <w:szCs w:val="19"/>
        </w:rPr>
        <w:t xml:space="preserve">That pair is the single best teaching object in the seminar. Two peer reviewed articles, three years apart, disagreeing about whether a country was colonised. Give students both and ask what evidence would settle it. Most will work out that nothing in the archive settles it, which is the lesson.</w:t>
      </w:r>
    </w:p>
    <w:p>
      <w:pPr>
        <w:spacing w:after="125" w:line="264"/>
        <w:jc w:val="both"/>
      </w:pPr>
      <w:r>
        <w:rPr>
          <w:rFonts w:ascii="Calibri" w:cs="Calibri" w:eastAsia="Calibri" w:hAnsi="Calibri"/>
          <w:i w:val="false"/>
          <w:iCs w:val="false"/>
          <w:color w:val="1C2B3A"/>
          <w:sz w:val="20"/>
          <w:szCs w:val="20"/>
        </w:rPr>
        <w:t xml:space="preserve">Where the two cases meet: Malta organised emigration as policy and received transfers back. Tonga did not organise its own emigration, but two donor governments now organise a large part of it. In both cases a small state's population became an export, and in both cases somebody chose it. Who chose, and on whose terms, is the question that separates the two readings.</w:t>
      </w:r>
    </w:p>
    <w:p>
      <w:pPr>
        <w:spacing w:after="110" w:before="290"/>
      </w:pPr>
      <w:r>
        <w:rPr>
          <w:rFonts w:ascii="Calibri" w:cs="Calibri" w:eastAsia="Calibri" w:hAnsi="Calibri"/>
          <w:b/>
          <w:bCs/>
          <w:color w:val="1F3B5C"/>
          <w:sz w:val="25"/>
          <w:szCs w:val="25"/>
        </w:rPr>
        <w:t xml:space="preserve">Segment three, twenty five minutes. The two framings, begun in the room</w:t>
      </w:r>
    </w:p>
    <w:p>
      <w:pPr>
        <w:spacing w:after="125" w:line="264"/>
        <w:jc w:val="both"/>
      </w:pPr>
      <w:r>
        <w:rPr>
          <w:rFonts w:ascii="Calibri" w:cs="Calibri" w:eastAsia="Calibri" w:hAnsi="Calibri"/>
          <w:i w:val="false"/>
          <w:iCs w:val="false"/>
          <w:color w:val="1C2B3A"/>
          <w:sz w:val="20"/>
          <w:szCs w:val="20"/>
        </w:rPr>
        <w:t xml:space="preserve">The task, unchanged in substance from what was agreed with Yves. Each student takes one small state case and writes the same five minutes of a lesson twice. Once as a story of vulnerability. Once as a story of agency. Then a short reflection on what each version teaches a pupil to believe.</w:t>
      </w:r>
    </w:p>
    <w:p>
      <w:pPr>
        <w:spacing w:after="70" w:before="190"/>
      </w:pPr>
      <w:r>
        <w:rPr>
          <w:rFonts w:ascii="Calibri" w:cs="Calibri" w:eastAsia="Calibri" w:hAnsi="Calibri"/>
          <w:b/>
          <w:bCs/>
          <w:color w:val="0E6E7A"/>
          <w:sz w:val="21"/>
          <w:szCs w:val="21"/>
        </w:rPr>
        <w:t xml:space="preserve">How it runs</w:t>
      </w:r>
    </w:p>
    <w:p>
      <w:pPr>
        <w:pStyle w:val="ListParagraph"/>
        <w:numPr>
          <w:ilvl w:val="0"/>
          <w:numId w:val="2"/>
        </w:numPr>
        <w:spacing w:after="65" w:line="258"/>
      </w:pPr>
      <w:r>
        <w:rPr>
          <w:rFonts w:ascii="Calibri" w:cs="Calibri" w:eastAsia="Calibri" w:hAnsi="Calibri"/>
          <w:b/>
          <w:bCs/>
          <w:sz w:val="20"/>
          <w:szCs w:val="20"/>
        </w:rPr>
        <w:t xml:space="preserve">Ten minutes, written, in silence. </w:t>
      </w:r>
      <w:r>
        <w:rPr>
          <w:rFonts w:ascii="Calibri" w:cs="Calibri" w:eastAsia="Calibri" w:hAnsi="Calibri"/>
          <w:sz w:val="20"/>
          <w:szCs w:val="20"/>
        </w:rPr>
        <w:t xml:space="preserve">Everyone writes the vulnerability version. They will find it comes easily and quickly, and that is itself the finding.</w:t>
      </w:r>
    </w:p>
    <w:p>
      <w:pPr>
        <w:pStyle w:val="ListParagraph"/>
        <w:numPr>
          <w:ilvl w:val="0"/>
          <w:numId w:val="2"/>
        </w:numPr>
        <w:spacing w:after="65" w:line="258"/>
      </w:pPr>
      <w:r>
        <w:rPr>
          <w:rFonts w:ascii="Calibri" w:cs="Calibri" w:eastAsia="Calibri" w:hAnsi="Calibri"/>
          <w:b/>
          <w:bCs/>
          <w:sz w:val="20"/>
          <w:szCs w:val="20"/>
        </w:rPr>
        <w:t xml:space="preserve">Ten minutes, shared. </w:t>
      </w:r>
      <w:r>
        <w:rPr>
          <w:rFonts w:ascii="Calibri" w:cs="Calibri" w:eastAsia="Calibri" w:hAnsi="Calibri"/>
          <w:sz w:val="20"/>
          <w:szCs w:val="20"/>
        </w:rPr>
        <w:t xml:space="preserve">Two or three read theirs aloud. The room notices how similar they sound to each other.</w:t>
      </w:r>
    </w:p>
    <w:p>
      <w:pPr>
        <w:pStyle w:val="ListParagraph"/>
        <w:numPr>
          <w:ilvl w:val="0"/>
          <w:numId w:val="2"/>
        </w:numPr>
        <w:spacing w:after="65" w:line="258"/>
      </w:pPr>
      <w:r>
        <w:rPr>
          <w:rFonts w:ascii="Calibri" w:cs="Calibri" w:eastAsia="Calibri" w:hAnsi="Calibri"/>
          <w:b/>
          <w:bCs/>
          <w:sz w:val="20"/>
          <w:szCs w:val="20"/>
        </w:rPr>
        <w:t xml:space="preserve">Five minutes, set up. </w:t>
      </w:r>
      <w:r>
        <w:rPr>
          <w:rFonts w:ascii="Calibri" w:cs="Calibri" w:eastAsia="Calibri" w:hAnsi="Calibri"/>
          <w:sz w:val="20"/>
          <w:szCs w:val="20"/>
        </w:rPr>
        <w:t xml:space="preserve">The agency version goes home with the reflection. Tell them the second version is harder to write and that the difficulty is the point.</w:t>
      </w:r>
    </w:p>
    <w:p>
      <w:pPr>
        <w:spacing w:after="70" w:before="190"/>
      </w:pPr>
      <w:r>
        <w:rPr>
          <w:rFonts w:ascii="Calibri" w:cs="Calibri" w:eastAsia="Calibri" w:hAnsi="Calibri"/>
          <w:b/>
          <w:bCs/>
          <w:color w:val="0E6E7A"/>
          <w:sz w:val="21"/>
          <w:szCs w:val="21"/>
        </w:rPr>
        <w:t xml:space="preserve">Marking</w:t>
      </w:r>
    </w:p>
    <w:p>
      <w:pPr>
        <w:pStyle w:val="ListParagraph"/>
        <w:numPr>
          <w:ilvl w:val="0"/>
          <w:numId w:val="2"/>
        </w:numPr>
        <w:spacing w:after="65" w:line="258"/>
      </w:pPr>
      <w:r>
        <w:rPr>
          <w:rFonts w:ascii="Calibri" w:cs="Calibri" w:eastAsia="Calibri" w:hAnsi="Calibri"/>
          <w:sz w:val="20"/>
          <w:szCs w:val="20"/>
        </w:rPr>
        <w:t xml:space="preserve">Both versions historically defensible from the same evidence. A student who wins the second version by inventing facts has failed the exercise.</w:t>
      </w:r>
    </w:p>
    <w:p>
      <w:pPr>
        <w:pStyle w:val="ListParagraph"/>
        <w:numPr>
          <w:ilvl w:val="0"/>
          <w:numId w:val="2"/>
        </w:numPr>
        <w:spacing w:after="65" w:line="258"/>
      </w:pPr>
      <w:r>
        <w:rPr>
          <w:rFonts w:ascii="Calibri" w:cs="Calibri" w:eastAsia="Calibri" w:hAnsi="Calibri"/>
          <w:sz w:val="20"/>
          <w:szCs w:val="20"/>
        </w:rPr>
        <w:t xml:space="preserve">The reflection names at least one specific thing the framing does to a pupil's understanding, not a general statement that perspective matters.</w:t>
      </w:r>
    </w:p>
    <w:p>
      <w:pPr>
        <w:pStyle w:val="ListParagraph"/>
        <w:numPr>
          <w:ilvl w:val="0"/>
          <w:numId w:val="2"/>
        </w:numPr>
        <w:spacing w:after="65" w:line="258"/>
      </w:pPr>
      <w:r>
        <w:rPr>
          <w:rFonts w:ascii="Calibri" w:cs="Calibri" w:eastAsia="Calibri" w:hAnsi="Calibri"/>
          <w:sz w:val="20"/>
          <w:szCs w:val="20"/>
        </w:rPr>
        <w:t xml:space="preserve">Sources named.</w:t>
      </w:r>
    </w:p>
    <w:p>
      <w:pPr>
        <w:spacing w:after="70" w:before="190"/>
      </w:pPr>
      <w:r>
        <w:rPr>
          <w:rFonts w:ascii="Calibri" w:cs="Calibri" w:eastAsia="Calibri" w:hAnsi="Calibri"/>
          <w:b/>
          <w:bCs/>
          <w:color w:val="0E6E7A"/>
          <w:sz w:val="21"/>
          <w:szCs w:val="21"/>
        </w:rPr>
        <w:t xml:space="preserve">If a student asks why this is a legitimate exercise</w:t>
      </w:r>
    </w:p>
    <w:p>
      <w:pPr>
        <w:spacing w:after="125" w:line="264"/>
        <w:jc w:val="both"/>
      </w:pPr>
      <w:r>
        <w:rPr>
          <w:rFonts w:ascii="Calibri" w:cs="Calibri" w:eastAsia="Calibri" w:hAnsi="Calibri"/>
          <w:i w:val="false"/>
          <w:iCs w:val="false"/>
          <w:color w:val="1C2B3A"/>
          <w:sz w:val="20"/>
          <w:szCs w:val="20"/>
        </w:rPr>
        <w:t xml:space="preserve">Wertsch's work on schematic narrative templates is the warrant: collective memory runs on a small number of recurring story shapes, and the template does much of the interpretive work before any evidence is examined. I could not find a published study testing vulnerability against agency framing as a variable in history teaching specifically, and that gap is worth telling the students, because it means what they are doing is closer to a small piece of original enquiry than to a set exercise.</w:t>
      </w:r>
    </w:p>
    <w:p>
      <w:pPr>
        <w:pBdr>
          <w:left w:val="single" w:color="C9541F" w:sz="14" w:space="10"/>
        </w:pBdr>
        <w:spacing w:after="130" w:before="110"/>
      </w:pPr>
      <w:r>
        <w:rPr>
          <w:rFonts w:ascii="Calibri" w:cs="Calibri" w:eastAsia="Calibri" w:hAnsi="Calibri"/>
          <w:color w:val="3A3226"/>
          <w:sz w:val="19"/>
          <w:szCs w:val="19"/>
        </w:rPr>
        <w:t xml:space="preserve">Note on the earlier idea of requiring at least one primary source: dropped deliberately, in line with the standing rule not to reuse that phrasing in a seminar assessment. The two framings task carries the same rigour without it.</w:t>
      </w:r>
    </w:p>
    <w:p>
      <w:pPr>
        <w:spacing w:after="110" w:before="290"/>
      </w:pPr>
      <w:r>
        <w:rPr>
          <w:rFonts w:ascii="Calibri" w:cs="Calibri" w:eastAsia="Calibri" w:hAnsi="Calibri"/>
          <w:b/>
          <w:bCs/>
          <w:color w:val="1F3B5C"/>
          <w:sz w:val="25"/>
          <w:szCs w:val="25"/>
        </w:rPr>
        <w:t xml:space="preserve">Close, five minutes. Where this is going now</w:t>
      </w:r>
    </w:p>
    <w:p>
      <w:pPr>
        <w:spacing w:after="125" w:line="264"/>
        <w:jc w:val="both"/>
      </w:pPr>
      <w:r>
        <w:rPr>
          <w:rFonts w:ascii="Calibri" w:cs="Calibri" w:eastAsia="Calibri" w:hAnsi="Calibri"/>
          <w:i w:val="false"/>
          <w:iCs w:val="false"/>
          <w:color w:val="1C2B3A"/>
          <w:sz w:val="20"/>
          <w:szCs w:val="20"/>
        </w:rPr>
        <w:t xml:space="preserve">One slide. No econometrics, no frameworks.</w:t>
      </w:r>
    </w:p>
    <w:p>
      <w:pPr>
        <w:pStyle w:val="ListParagraph"/>
        <w:numPr>
          <w:ilvl w:val="0"/>
          <w:numId w:val="2"/>
        </w:numPr>
        <w:spacing w:after="65" w:line="258"/>
      </w:pPr>
      <w:r>
        <w:rPr>
          <w:rFonts w:ascii="Calibri" w:cs="Calibri" w:eastAsia="Calibri" w:hAnsi="Calibri"/>
          <w:sz w:val="20"/>
          <w:szCs w:val="20"/>
        </w:rPr>
        <w:t xml:space="preserve">FAR-SIDS is a two year study of foreign aid and remittances across Jamaica, Tonga and Comoros. Its systematic review of 201 studies closed in August 2026.</w:t>
      </w:r>
    </w:p>
    <w:p>
      <w:pPr>
        <w:pStyle w:val="ListParagraph"/>
        <w:numPr>
          <w:ilvl w:val="0"/>
          <w:numId w:val="2"/>
        </w:numPr>
        <w:spacing w:after="65" w:line="258"/>
      </w:pPr>
      <w:r>
        <w:rPr>
          <w:rFonts w:ascii="Calibri" w:cs="Calibri" w:eastAsia="Calibri" w:hAnsi="Calibri"/>
          <w:sz w:val="20"/>
          <w:szCs w:val="20"/>
        </w:rPr>
        <w:t xml:space="preserve">The sharpest unresolved disagreement in that whole modern literature is the one the seminar has been circling: is dependence something imposed on small islands, or something they cultivate as a strategy? Serious scholars hold both positions on current evidence, exactly as historians do on the twentieth century record.</w:t>
      </w:r>
    </w:p>
    <w:p>
      <w:pPr>
        <w:pStyle w:val="ListParagraph"/>
        <w:numPr>
          <w:ilvl w:val="0"/>
          <w:numId w:val="2"/>
        </w:numPr>
        <w:spacing w:after="65" w:line="258"/>
      </w:pPr>
      <w:r>
        <w:rPr>
          <w:rFonts w:ascii="Calibri" w:cs="Calibri" w:eastAsia="Calibri" w:hAnsi="Calibri"/>
          <w:sz w:val="20"/>
          <w:szCs w:val="20"/>
        </w:rPr>
        <w:t xml:space="preserve">Close on the Pacific paper on foreign aid, human agency and self reliance published in 2023, which I co-authored, so the students can see the person in front of them has taken a side and can be argued with.</w:t>
      </w:r>
    </w:p>
    <w:p>
      <w:pPr>
        <w:spacing w:after="110" w:before="290"/>
      </w:pPr>
      <w:r>
        <w:rPr>
          <w:rFonts w:ascii="Calibri" w:cs="Calibri" w:eastAsia="Calibri" w:hAnsi="Calibri"/>
          <w:b/>
          <w:bCs/>
          <w:color w:val="1F3B5C"/>
          <w:sz w:val="25"/>
          <w:szCs w:val="25"/>
        </w:rPr>
        <w:t xml:space="preserve">Readings set in advance</w:t>
      </w:r>
    </w:p>
    <w:p>
      <w:pPr>
        <w:spacing w:after="125" w:line="264"/>
        <w:jc w:val="both"/>
      </w:pPr>
      <w:r>
        <w:rPr>
          <w:rFonts w:ascii="Calibri" w:cs="Calibri" w:eastAsia="Calibri" w:hAnsi="Calibri"/>
          <w:i w:val="false"/>
          <w:iCs w:val="false"/>
          <w:color w:val="1C2B3A"/>
          <w:sz w:val="20"/>
          <w:szCs w:val="20"/>
        </w:rPr>
        <w:t xml:space="preserve">Two required, both short. The optional pair is for anyone who wants the argument at its sharpest.</w:t>
      </w:r>
    </w:p>
    <w:p>
      <w:pPr>
        <w:spacing w:after="70" w:before="190"/>
      </w:pPr>
      <w:r>
        <w:rPr>
          <w:rFonts w:ascii="Calibri" w:cs="Calibri" w:eastAsia="Calibri" w:hAnsi="Calibri"/>
          <w:b/>
          <w:bCs/>
          <w:color w:val="0E6E7A"/>
          <w:sz w:val="21"/>
          <w:szCs w:val="21"/>
        </w:rPr>
        <w:t xml:space="preserve">Required</w:t>
      </w:r>
    </w:p>
    <w:p>
      <w:pPr>
        <w:spacing w:after="55" w:line="250"/>
        <w:ind w:left="200" w:hanging="200"/>
      </w:pPr>
      <w:r>
        <w:rPr>
          <w:rFonts w:ascii="Calibri" w:cs="Calibri" w:eastAsia="Calibri" w:hAnsi="Calibri"/>
          <w:color w:val="33404D"/>
          <w:sz w:val="18"/>
          <w:szCs w:val="18"/>
        </w:rPr>
        <w:t xml:space="preserve">Briguglio, L. The Maltese Economy since 1960. University of Malta open access repository. Short, quantitative in the plainest sense, and it contains the sentence that carries the seminar: emigration was singled out as a tool of policy.</w:t>
      </w:r>
    </w:p>
    <w:p>
      <w:pPr>
        <w:spacing w:after="55" w:line="250"/>
        <w:ind w:left="200" w:hanging="200"/>
      </w:pPr>
      <w:r>
        <w:rPr>
          <w:rFonts w:ascii="Calibri" w:cs="Calibri" w:eastAsia="Calibri" w:hAnsi="Calibri"/>
          <w:color w:val="33404D"/>
          <w:sz w:val="18"/>
          <w:szCs w:val="18"/>
        </w:rPr>
        <w:t xml:space="preserve">Melber, H. (2025) Germany's Colonial Memory Failure. Historians without Borders, 7 November 2025. Current, and it is commentary rather than peer reviewed scholarship, which should be pointed out to the class as part of reading it.</w:t>
      </w:r>
    </w:p>
    <w:p>
      <w:pPr>
        <w:spacing w:after="70" w:before="190"/>
      </w:pPr>
      <w:r>
        <w:rPr>
          <w:rFonts w:ascii="Calibri" w:cs="Calibri" w:eastAsia="Calibri" w:hAnsi="Calibri"/>
          <w:b/>
          <w:bCs/>
          <w:color w:val="0E6E7A"/>
          <w:sz w:val="21"/>
          <w:szCs w:val="21"/>
        </w:rPr>
        <w:t xml:space="preserve">Optional, the contested pair on Tonga</w:t>
      </w:r>
    </w:p>
    <w:p>
      <w:pPr>
        <w:spacing w:after="55" w:line="250"/>
        <w:ind w:left="200" w:hanging="200"/>
      </w:pPr>
      <w:r>
        <w:rPr>
          <w:rFonts w:ascii="Calibri" w:cs="Calibri" w:eastAsia="Calibri" w:hAnsi="Calibri"/>
          <w:color w:val="33404D"/>
          <w:sz w:val="18"/>
          <w:szCs w:val="18"/>
        </w:rPr>
        <w:t xml:space="preserve">Bade, J. N. (2021) The Role of Tonga's Constitutional Monarchy in Preserving Tonga's Independence during the European Colonial Era in the Pacific. History Australia 18(2), 241 to 256.</w:t>
      </w:r>
    </w:p>
    <w:p>
      <w:pPr>
        <w:spacing w:after="55" w:line="250"/>
        <w:ind w:left="200" w:hanging="200"/>
      </w:pPr>
      <w:r>
        <w:rPr>
          <w:rFonts w:ascii="Calibri" w:cs="Calibri" w:eastAsia="Calibri" w:hAnsi="Calibri"/>
          <w:color w:val="33404D"/>
          <w:sz w:val="18"/>
          <w:szCs w:val="18"/>
        </w:rPr>
        <w:t xml:space="preserve">Tecun, A. and Siu'ulua, S. A. (2024) Tongan Coloniality: Contesting the 'Never Colonized' Narrative. Postcolonial Studies 27(2), 165 to 182.</w:t>
      </w:r>
    </w:p>
    <w:p>
      <w:pPr>
        <w:spacing w:after="110" w:before="290"/>
      </w:pPr>
      <w:r>
        <w:rPr>
          <w:rFonts w:ascii="Calibri" w:cs="Calibri" w:eastAsia="Calibri" w:hAnsi="Calibri"/>
          <w:b/>
          <w:bCs/>
          <w:color w:val="1F3B5C"/>
          <w:sz w:val="25"/>
          <w:szCs w:val="25"/>
        </w:rPr>
        <w:t xml:space="preserve">Working bibliography</w:t>
      </w:r>
    </w:p>
    <w:p>
      <w:pPr>
        <w:spacing w:after="70" w:before="190"/>
      </w:pPr>
      <w:r>
        <w:rPr>
          <w:rFonts w:ascii="Calibri" w:cs="Calibri" w:eastAsia="Calibri" w:hAnsi="Calibri"/>
          <w:b/>
          <w:bCs/>
          <w:color w:val="0E6E7A"/>
          <w:sz w:val="21"/>
          <w:szCs w:val="21"/>
        </w:rPr>
        <w:t xml:space="preserve">Dependency, small states and agency</w:t>
      </w:r>
    </w:p>
    <w:p>
      <w:pPr>
        <w:spacing w:after="55" w:line="250"/>
        <w:ind w:left="200" w:hanging="200"/>
      </w:pPr>
      <w:r>
        <w:rPr>
          <w:rFonts w:ascii="Calibri" w:cs="Calibri" w:eastAsia="Calibri" w:hAnsi="Calibri"/>
          <w:color w:val="33404D"/>
          <w:sz w:val="18"/>
          <w:szCs w:val="18"/>
        </w:rPr>
        <w:t xml:space="preserve">Prebisch, R. (1950) The Economic Development of Latin America and Its Principal Problems. United Nations, ECLA.</w:t>
      </w:r>
    </w:p>
    <w:p>
      <w:pPr>
        <w:spacing w:after="55" w:line="250"/>
        <w:ind w:left="200" w:hanging="200"/>
      </w:pPr>
      <w:r>
        <w:rPr>
          <w:rFonts w:ascii="Calibri" w:cs="Calibri" w:eastAsia="Calibri" w:hAnsi="Calibri"/>
          <w:color w:val="33404D"/>
          <w:sz w:val="18"/>
          <w:szCs w:val="18"/>
        </w:rPr>
        <w:t xml:space="preserve">Singer, H. W. (1950) The Distribution of Gains between Investing and Borrowing Countries. American Economic Review 40(2), 473 to 485.</w:t>
      </w:r>
    </w:p>
    <w:p>
      <w:pPr>
        <w:spacing w:after="55" w:line="250"/>
        <w:ind w:left="200" w:hanging="200"/>
      </w:pPr>
      <w:r>
        <w:rPr>
          <w:rFonts w:ascii="Calibri" w:cs="Calibri" w:eastAsia="Calibri" w:hAnsi="Calibri"/>
          <w:color w:val="33404D"/>
          <w:sz w:val="18"/>
          <w:szCs w:val="18"/>
        </w:rPr>
        <w:t xml:space="preserve">Frank, A. G. (1966) The Development of Underdevelopment. Monthly Review 18(4), 17 to 31.</w:t>
      </w:r>
    </w:p>
    <w:p>
      <w:pPr>
        <w:spacing w:after="55" w:line="250"/>
        <w:ind w:left="200" w:hanging="200"/>
      </w:pPr>
      <w:r>
        <w:rPr>
          <w:rFonts w:ascii="Calibri" w:cs="Calibri" w:eastAsia="Calibri" w:hAnsi="Calibri"/>
          <w:color w:val="33404D"/>
          <w:sz w:val="18"/>
          <w:szCs w:val="18"/>
        </w:rPr>
        <w:t xml:space="preserve">Cardoso, F. H. and Faletto, E. (1969) Dependencia y desarrollo en America Latina. Siglo XXI. English translation, University of California Press, 1979.</w:t>
      </w:r>
    </w:p>
    <w:p>
      <w:pPr>
        <w:spacing w:after="55" w:line="250"/>
        <w:ind w:left="200" w:hanging="200"/>
      </w:pPr>
      <w:r>
        <w:rPr>
          <w:rFonts w:ascii="Calibri" w:cs="Calibri" w:eastAsia="Calibri" w:hAnsi="Calibri"/>
          <w:color w:val="33404D"/>
          <w:sz w:val="18"/>
          <w:szCs w:val="18"/>
        </w:rPr>
        <w:t xml:space="preserve">Amin, S. (1973) Le developpement inegal. Editions de Minuit.</w:t>
      </w:r>
    </w:p>
    <w:p>
      <w:pPr>
        <w:spacing w:after="55" w:line="250"/>
        <w:ind w:left="200" w:hanging="200"/>
      </w:pPr>
      <w:r>
        <w:rPr>
          <w:rFonts w:ascii="Calibri" w:cs="Calibri" w:eastAsia="Calibri" w:hAnsi="Calibri"/>
          <w:color w:val="33404D"/>
          <w:sz w:val="18"/>
          <w:szCs w:val="18"/>
        </w:rPr>
        <w:t xml:space="preserve">Kvangraven, I. H. (2021) Beyond the Stereotype: Restating the Relevance of the Dependency Research Programme. Development and Change 52(1), 76 to 112. Open access.</w:t>
      </w:r>
    </w:p>
    <w:p>
      <w:pPr>
        <w:spacing w:after="55" w:line="250"/>
        <w:ind w:left="200" w:hanging="200"/>
      </w:pPr>
      <w:r>
        <w:rPr>
          <w:rFonts w:ascii="Calibri" w:cs="Calibri" w:eastAsia="Calibri" w:hAnsi="Calibri"/>
          <w:color w:val="33404D"/>
          <w:sz w:val="18"/>
          <w:szCs w:val="18"/>
        </w:rPr>
        <w:t xml:space="preserve">Bertram, G. and Watters, R. (1985) The MIRAB economy in South Pacific microstates. Pacific Viewpoint 26(3).</w:t>
      </w:r>
    </w:p>
    <w:p>
      <w:pPr>
        <w:spacing w:after="55" w:line="250"/>
        <w:ind w:left="200" w:hanging="200"/>
      </w:pPr>
      <w:r>
        <w:rPr>
          <w:rFonts w:ascii="Calibri" w:cs="Calibri" w:eastAsia="Calibri" w:hAnsi="Calibri"/>
          <w:color w:val="33404D"/>
          <w:sz w:val="18"/>
          <w:szCs w:val="18"/>
        </w:rPr>
        <w:t xml:space="preserve">Paine, R. (1977) The Path to Welfare Colonialism, in Paine, R. ed. The White Arctic. Memorial University of Newfoundland.</w:t>
      </w:r>
    </w:p>
    <w:p>
      <w:pPr>
        <w:spacing w:after="55" w:line="250"/>
        <w:ind w:left="200" w:hanging="200"/>
      </w:pPr>
      <w:r>
        <w:rPr>
          <w:rFonts w:ascii="Calibri" w:cs="Calibri" w:eastAsia="Calibri" w:hAnsi="Calibri"/>
          <w:color w:val="33404D"/>
          <w:sz w:val="18"/>
          <w:szCs w:val="18"/>
        </w:rPr>
        <w:t xml:space="preserve">Fox, A. B. (1959) The Power of Small States: Diplomacy in World War II. University of Chicago Press.</w:t>
      </w:r>
    </w:p>
    <w:p>
      <w:pPr>
        <w:spacing w:after="55" w:line="250"/>
        <w:ind w:left="200" w:hanging="200"/>
      </w:pPr>
      <w:r>
        <w:rPr>
          <w:rFonts w:ascii="Calibri" w:cs="Calibri" w:eastAsia="Calibri" w:hAnsi="Calibri"/>
          <w:color w:val="33404D"/>
          <w:sz w:val="18"/>
          <w:szCs w:val="18"/>
        </w:rPr>
        <w:t xml:space="preserve">Katzenstein, P. J. (1985) Small States in World Markets: Industrial Policy in Europe. Cornell University Press.</w:t>
      </w:r>
    </w:p>
    <w:p>
      <w:pPr>
        <w:spacing w:after="55" w:line="250"/>
        <w:ind w:left="200" w:hanging="200"/>
      </w:pPr>
      <w:r>
        <w:rPr>
          <w:rFonts w:ascii="Calibri" w:cs="Calibri" w:eastAsia="Calibri" w:hAnsi="Calibri"/>
          <w:color w:val="33404D"/>
          <w:sz w:val="18"/>
          <w:szCs w:val="18"/>
        </w:rPr>
        <w:t xml:space="preserve">Thorhallsson, B. ed. (2018) Small States and Shelter Theory: Iceland's External Affairs. Routledge.</w:t>
      </w:r>
    </w:p>
    <w:p>
      <w:pPr>
        <w:spacing w:after="55" w:line="250"/>
        <w:ind w:left="200" w:hanging="200"/>
      </w:pPr>
      <w:r>
        <w:rPr>
          <w:rFonts w:ascii="Calibri" w:cs="Calibri" w:eastAsia="Calibri" w:hAnsi="Calibri"/>
          <w:color w:val="33404D"/>
          <w:sz w:val="18"/>
          <w:szCs w:val="18"/>
        </w:rPr>
        <w:t xml:space="preserve">Baldacchino, G. (2006) Managing the Hinterland Beyond: Two Ideal-Type Strategies of Economic Development for Small Island Territories.</w:t>
      </w:r>
    </w:p>
    <w:p>
      <w:pPr>
        <w:spacing w:after="70" w:before="190"/>
      </w:pPr>
      <w:r>
        <w:rPr>
          <w:rFonts w:ascii="Calibri" w:cs="Calibri" w:eastAsia="Calibri" w:hAnsi="Calibri"/>
          <w:b/>
          <w:bCs/>
          <w:color w:val="0E6E7A"/>
          <w:sz w:val="21"/>
          <w:szCs w:val="21"/>
        </w:rPr>
        <w:t xml:space="preserve">Malta</w:t>
      </w:r>
    </w:p>
    <w:p>
      <w:pPr>
        <w:spacing w:after="55" w:line="250"/>
        <w:ind w:left="200" w:hanging="200"/>
      </w:pPr>
      <w:r>
        <w:rPr>
          <w:rFonts w:ascii="Calibri" w:cs="Calibri" w:eastAsia="Calibri" w:hAnsi="Calibri"/>
          <w:color w:val="33404D"/>
          <w:sz w:val="18"/>
          <w:szCs w:val="18"/>
        </w:rPr>
        <w:t xml:space="preserve">Briguglio, L. The Maltese Economy since 1960. University of Malta open access repository.</w:t>
      </w:r>
    </w:p>
    <w:p>
      <w:pPr>
        <w:spacing w:after="55" w:line="250"/>
        <w:ind w:left="200" w:hanging="200"/>
      </w:pPr>
      <w:r>
        <w:rPr>
          <w:rFonts w:ascii="Calibri" w:cs="Calibri" w:eastAsia="Calibri" w:hAnsi="Calibri"/>
          <w:color w:val="33404D"/>
          <w:sz w:val="18"/>
          <w:szCs w:val="18"/>
        </w:rPr>
        <w:t xml:space="preserve">Frendo, H. (1979) Party Politics in a Fortress Colony: The Maltese Experience. Midsea Books.</w:t>
      </w:r>
    </w:p>
    <w:p>
      <w:pPr>
        <w:spacing w:after="55" w:line="250"/>
        <w:ind w:left="200" w:hanging="200"/>
      </w:pPr>
      <w:r>
        <w:rPr>
          <w:rFonts w:ascii="Calibri" w:cs="Calibri" w:eastAsia="Calibri" w:hAnsi="Calibri"/>
          <w:color w:val="33404D"/>
          <w:sz w:val="18"/>
          <w:szCs w:val="18"/>
        </w:rPr>
        <w:t xml:space="preserve">Smith, S. C. (2023) Transition of power: the problems of Britain's post-imperial relationship with Malta, 1964 to 1971. Contemporary British History 37(1).</w:t>
      </w:r>
    </w:p>
    <w:p>
      <w:pPr>
        <w:spacing w:after="55" w:line="250"/>
        <w:ind w:left="200" w:hanging="200"/>
      </w:pPr>
      <w:r>
        <w:rPr>
          <w:rFonts w:ascii="Calibri" w:cs="Calibri" w:eastAsia="Calibri" w:hAnsi="Calibri"/>
          <w:color w:val="33404D"/>
          <w:sz w:val="18"/>
          <w:szCs w:val="18"/>
        </w:rPr>
        <w:t xml:space="preserve">Austin, D. (1971) Malta and the End of Empire. Frank Cass.</w:t>
      </w:r>
    </w:p>
    <w:p>
      <w:pPr>
        <w:spacing w:after="55" w:line="250"/>
        <w:ind w:left="200" w:hanging="200"/>
      </w:pPr>
      <w:r>
        <w:rPr>
          <w:rFonts w:ascii="Calibri" w:cs="Calibri" w:eastAsia="Calibri" w:hAnsi="Calibri"/>
          <w:color w:val="33404D"/>
          <w:sz w:val="18"/>
          <w:szCs w:val="18"/>
        </w:rPr>
        <w:t xml:space="preserve">Diaspora Policies, Consular Services and Social Protection for Maltese Citizens Abroad (2020), in Migration and Social Protection in Europe and Beyond. Springer, open access. Source of the assisted passage figures.</w:t>
      </w:r>
    </w:p>
    <w:p>
      <w:pPr>
        <w:spacing w:after="70" w:before="190"/>
      </w:pPr>
      <w:r>
        <w:rPr>
          <w:rFonts w:ascii="Calibri" w:cs="Calibri" w:eastAsia="Calibri" w:hAnsi="Calibri"/>
          <w:b/>
          <w:bCs/>
          <w:color w:val="0E6E7A"/>
          <w:sz w:val="21"/>
          <w:szCs w:val="21"/>
        </w:rPr>
        <w:t xml:space="preserve">Tonga and the Pacific</w:t>
      </w:r>
    </w:p>
    <w:p>
      <w:pPr>
        <w:spacing w:after="55" w:line="250"/>
        <w:ind w:left="200" w:hanging="200"/>
      </w:pPr>
      <w:r>
        <w:rPr>
          <w:rFonts w:ascii="Calibri" w:cs="Calibri" w:eastAsia="Calibri" w:hAnsi="Calibri"/>
          <w:color w:val="33404D"/>
          <w:sz w:val="18"/>
          <w:szCs w:val="18"/>
        </w:rPr>
        <w:t xml:space="preserve">Bade, J. N. (2021) History Australia 18(2). Tecun, A. and Siu'ulua, S. A. (2024) Postcolonial Studies 27(2). The contested pair.</w:t>
      </w:r>
    </w:p>
    <w:p>
      <w:pPr>
        <w:spacing w:after="55" w:line="250"/>
        <w:ind w:left="200" w:hanging="200"/>
      </w:pPr>
      <w:r>
        <w:rPr>
          <w:rFonts w:ascii="Calibri" w:cs="Calibri" w:eastAsia="Calibri" w:hAnsi="Calibri"/>
          <w:color w:val="33404D"/>
          <w:sz w:val="18"/>
          <w:szCs w:val="18"/>
        </w:rPr>
        <w:t xml:space="preserve">Latukefu, S. (1974) Church and State in Tonga. ANU Press. Open access.</w:t>
      </w:r>
    </w:p>
    <w:p>
      <w:pPr>
        <w:spacing w:after="55" w:line="250"/>
        <w:ind w:left="200" w:hanging="200"/>
      </w:pPr>
      <w:r>
        <w:rPr>
          <w:rFonts w:ascii="Calibri" w:cs="Calibri" w:eastAsia="Calibri" w:hAnsi="Calibri"/>
          <w:color w:val="33404D"/>
          <w:sz w:val="18"/>
          <w:szCs w:val="18"/>
        </w:rPr>
        <w:t xml:space="preserve">Teaurere, R., Latu, S. T., de Waegh, R., Orams, M. and Luck, M. (2023) Foreign Aid, Human Agency, and Self-Reliance in the Pacific: Lessons from the Pandemic.</w:t>
      </w:r>
    </w:p>
    <w:p>
      <w:pPr>
        <w:spacing w:after="55" w:line="250"/>
        <w:ind w:left="200" w:hanging="200"/>
      </w:pPr>
      <w:r>
        <w:rPr>
          <w:rFonts w:ascii="Calibri" w:cs="Calibri" w:eastAsia="Calibri" w:hAnsi="Calibri"/>
          <w:color w:val="33404D"/>
          <w:sz w:val="18"/>
          <w:szCs w:val="18"/>
        </w:rPr>
        <w:t xml:space="preserve">Hempenstall, P. J. (1978) Pacific Islanders under German Rule. ANU Press. Free online, for the five minute opening.</w:t>
      </w:r>
    </w:p>
    <w:p>
      <w:pPr>
        <w:spacing w:after="55" w:line="250"/>
        <w:ind w:left="200" w:hanging="200"/>
      </w:pPr>
      <w:r>
        <w:rPr>
          <w:rFonts w:ascii="Calibri" w:cs="Calibri" w:eastAsia="Calibri" w:hAnsi="Calibri"/>
          <w:color w:val="33404D"/>
          <w:sz w:val="18"/>
          <w:szCs w:val="18"/>
        </w:rPr>
        <w:t xml:space="preserve">Hiery, H. J. ed. (2001) Die deutsche Sudsee 1884 bis 1914: Ein Handbuch. Ferdinand Schoningh. The German language reference work, worth naming for this audience.</w:t>
      </w:r>
    </w:p>
    <w:p>
      <w:pPr>
        <w:spacing w:after="70" w:before="190"/>
      </w:pPr>
      <w:r>
        <w:rPr>
          <w:rFonts w:ascii="Calibri" w:cs="Calibri" w:eastAsia="Calibri" w:hAnsi="Calibri"/>
          <w:b/>
          <w:bCs/>
          <w:color w:val="0E6E7A"/>
          <w:sz w:val="21"/>
          <w:szCs w:val="21"/>
        </w:rPr>
        <w:t xml:space="preserve">Memory and teaching</w:t>
      </w:r>
    </w:p>
    <w:p>
      <w:pPr>
        <w:spacing w:after="55" w:line="250"/>
        <w:ind w:left="200" w:hanging="200"/>
      </w:pPr>
      <w:r>
        <w:rPr>
          <w:rFonts w:ascii="Calibri" w:cs="Calibri" w:eastAsia="Calibri" w:hAnsi="Calibri"/>
          <w:color w:val="33404D"/>
          <w:sz w:val="18"/>
          <w:szCs w:val="18"/>
        </w:rPr>
        <w:t xml:space="preserve">Schaper, U. and Lerp, D. (2025) Layers of Memory: Monuments, Memorials and the (De)Colonisation of Public Space in Germany. Journal of Modern European History 23(3), 357 to 377.</w:t>
      </w:r>
    </w:p>
    <w:p>
      <w:pPr>
        <w:spacing w:after="55" w:line="250"/>
        <w:ind w:left="200" w:hanging="200"/>
      </w:pPr>
      <w:r>
        <w:rPr>
          <w:rFonts w:ascii="Calibri" w:cs="Calibri" w:eastAsia="Calibri" w:hAnsi="Calibri"/>
          <w:color w:val="33404D"/>
          <w:sz w:val="18"/>
          <w:szCs w:val="18"/>
        </w:rPr>
        <w:t xml:space="preserve">Wertsch, J. V. (2008) The Narrative Organization of Collective Memory. Ethos 36(1), 120 to 135. The warrant for the assessment.</w:t>
      </w:r>
    </w:p>
    <w:p>
      <w:pPr>
        <w:spacing w:after="110" w:before="290"/>
      </w:pPr>
      <w:r>
        <w:rPr>
          <w:rFonts w:ascii="Calibri" w:cs="Calibri" w:eastAsia="Calibri" w:hAnsi="Calibri"/>
          <w:b/>
          <w:bCs/>
          <w:color w:val="1F3B5C"/>
          <w:sz w:val="25"/>
          <w:szCs w:val="25"/>
        </w:rPr>
        <w:t xml:space="preserve">Citations to verify before this goes to Yves</w:t>
      </w:r>
    </w:p>
    <w:p>
      <w:pPr>
        <w:spacing w:after="125" w:line="264"/>
        <w:jc w:val="both"/>
      </w:pPr>
      <w:r>
        <w:rPr>
          <w:rFonts w:ascii="Calibri" w:cs="Calibri" w:eastAsia="Calibri" w:hAnsi="Calibri"/>
          <w:i w:val="false"/>
          <w:iCs w:val="false"/>
          <w:color w:val="1C2B3A"/>
          <w:sz w:val="20"/>
          <w:szCs w:val="20"/>
        </w:rPr>
        <w:t xml:space="preserve">Several items came through secondary chains. These need a library check, and I can run them once the outline is agreed.</w:t>
      </w:r>
    </w:p>
    <w:p>
      <w:pPr>
        <w:pStyle w:val="ListParagraph"/>
        <w:numPr>
          <w:ilvl w:val="0"/>
          <w:numId w:val="2"/>
        </w:numPr>
        <w:spacing w:after="65" w:line="258"/>
      </w:pPr>
      <w:r>
        <w:rPr>
          <w:rFonts w:ascii="Calibri" w:cs="Calibri" w:eastAsia="Calibri" w:hAnsi="Calibri"/>
          <w:sz w:val="20"/>
          <w:szCs w:val="20"/>
        </w:rPr>
        <w:t xml:space="preserve">Robert Paine's 1977 essay title and the full bibliographic details of The White Arctic.</w:t>
      </w:r>
    </w:p>
    <w:p>
      <w:pPr>
        <w:pStyle w:val="ListParagraph"/>
        <w:numPr>
          <w:ilvl w:val="0"/>
          <w:numId w:val="2"/>
        </w:numPr>
        <w:spacing w:after="65" w:line="258"/>
      </w:pPr>
      <w:r>
        <w:rPr>
          <w:rFonts w:ascii="Calibri" w:cs="Calibri" w:eastAsia="Calibri" w:hAnsi="Calibri"/>
          <w:sz w:val="20"/>
          <w:szCs w:val="20"/>
        </w:rPr>
        <w:t xml:space="preserve">Bertram and Watters 1985, exact volume and pages for the original MIRAB article.</w:t>
      </w:r>
    </w:p>
    <w:p>
      <w:pPr>
        <w:pStyle w:val="ListParagraph"/>
        <w:numPr>
          <w:ilvl w:val="0"/>
          <w:numId w:val="2"/>
        </w:numPr>
        <w:spacing w:after="65" w:line="258"/>
      </w:pPr>
      <w:r>
        <w:rPr>
          <w:rFonts w:ascii="Calibri" w:cs="Calibri" w:eastAsia="Calibri" w:hAnsi="Calibri"/>
          <w:sz w:val="20"/>
          <w:szCs w:val="20"/>
        </w:rPr>
        <w:t xml:space="preserve">The Malta figures: the fifteen per cent of gross domestic product from British military establishments, the foreign transfers series in Maltese lira, and the emigration percentages, all currently read from Briguglio and the Springer diaspora chapter rather than from primary statistics.</w:t>
      </w:r>
    </w:p>
    <w:p>
      <w:pPr>
        <w:pStyle w:val="ListParagraph"/>
        <w:numPr>
          <w:ilvl w:val="0"/>
          <w:numId w:val="2"/>
        </w:numPr>
        <w:spacing w:after="65" w:line="258"/>
      </w:pPr>
      <w:r>
        <w:rPr>
          <w:rFonts w:ascii="Calibri" w:cs="Calibri" w:eastAsia="Calibri" w:hAnsi="Calibri"/>
          <w:sz w:val="20"/>
          <w:szCs w:val="20"/>
        </w:rPr>
        <w:t xml:space="preserve">The terms of the 1964 financial and defence agreement and the 1972 renegotiation, which should be checked against the agreements themselves rather than against secondary summaries.</w:t>
      </w:r>
    </w:p>
    <w:p>
      <w:pPr>
        <w:pStyle w:val="ListParagraph"/>
        <w:numPr>
          <w:ilvl w:val="0"/>
          <w:numId w:val="2"/>
        </w:numPr>
        <w:spacing w:after="65" w:line="258"/>
      </w:pPr>
      <w:r>
        <w:rPr>
          <w:rFonts w:ascii="Calibri" w:cs="Calibri" w:eastAsia="Calibri" w:hAnsi="Calibri"/>
          <w:sz w:val="20"/>
          <w:szCs w:val="20"/>
        </w:rPr>
        <w:t xml:space="preserve">The author of the 2021 German Politics and Society article on postcolonial myths in German history textbooks, if that material is used.</w:t>
      </w:r>
    </w:p>
    <w:p>
      <w:pPr>
        <w:pBdr>
          <w:top w:val="single" w:color="C9C2B4" w:sz="6" w:space="6"/>
        </w:pBdr>
        <w:spacing w:before="280"/>
      </w:pPr>
      <w:r>
        <w:rPr>
          <w:rFonts w:ascii="Calibri" w:cs="Calibri" w:eastAsia="Calibri" w:hAnsi="Calibri"/>
          <w:i/>
          <w:iCs/>
          <w:color w:val="5B6B7B"/>
          <w:sz w:val="18"/>
          <w:szCs w:val="18"/>
        </w:rPr>
        <w:t xml:space="preserve">Next: confirm the title, then build the slides and the short brief for Yves. Title due to him by 27 September 2026.</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2026-08-14T14:50:21.180Z</dcterms:created>
  <dcterms:modified xsi:type="dcterms:W3CDTF">2026-08-14T14:50:21.198Z</dcterms:modified>
</cp:coreProperties>
</file>

<file path=docProps/custom.xml><?xml version="1.0" encoding="utf-8"?>
<Properties xmlns="http://schemas.openxmlformats.org/officeDocument/2006/custom-properties" xmlns:vt="http://schemas.openxmlformats.org/officeDocument/2006/docPropsVTypes"/>
</file>