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b/>
          <w:i w:val="0"/>
          <w:color w:val="000000"/>
          <w:sz w:val="32"/>
        </w:rPr>
        <w:t>Aid, remittances and agency</w:t>
      </w:r>
    </w:p>
    <w:p>
      <w:pPr>
        <w:spacing w:after="40" w:line="264" w:lineRule="auto"/>
        <w:jc w:val="center"/>
      </w:pPr>
      <w:r>
        <w:rPr>
          <w:rFonts w:ascii="Times New Roman" w:hAnsi="Times New Roman"/>
          <w:b w:val="0"/>
          <w:i/>
          <w:color w:val="000000"/>
          <w:sz w:val="24"/>
        </w:rPr>
        <w:t>Europe's small states as the first remittance economies, and what the islands of today show us</w:t>
      </w:r>
    </w:p>
    <w:p>
      <w:pPr>
        <w:spacing w:after="200" w:line="264" w:lineRule="auto"/>
        <w:jc w:val="center"/>
      </w:pPr>
      <w:r>
        <w:rPr>
          <w:rFonts w:ascii="Times New Roman" w:hAnsi="Times New Roman"/>
          <w:b w:val="0"/>
          <w:i w:val="0"/>
          <w:color w:val="000000"/>
          <w:sz w:val="21"/>
        </w:rPr>
        <w:t>Seminar session for European Small States in the 20th Century, University of Hildesheim. Friday 27 November 2026, 12:15 to 13:45 CET, online. Dr Roxane de Waegh, Islands and Small States Institute, University of Malta. Outline of 16 September 2026.</w:t>
      </w:r>
    </w:p>
    <w:p>
      <w:pPr>
        <w:spacing w:after="80" w:line="264" w:lineRule="auto" w:before="200"/>
      </w:pPr>
      <w:r>
        <w:rPr>
          <w:rFonts w:ascii="Times New Roman" w:hAnsi="Times New Roman"/>
          <w:b/>
          <w:i w:val="0"/>
          <w:color w:val="000000"/>
          <w:sz w:val="26"/>
        </w:rPr>
        <w:t>What the session argues</w:t>
      </w:r>
    </w:p>
    <w:p>
      <w:pPr>
        <w:spacing w:after="120" w:line="264" w:lineRule="auto"/>
      </w:pPr>
      <w:r>
        <w:rPr>
          <w:rFonts w:ascii="Times New Roman" w:hAnsi="Times New Roman"/>
          <w:b w:val="0"/>
          <w:i w:val="0"/>
          <w:color w:val="000000"/>
        </w:rPr>
        <w:t>Small states in the twentieth century lived on money they did not make at home: rent for a strategic position, foreign aid, and the earnings of people who had left. Europe's own small states were the first economies to live on the two flows I study today. Malta received net official development assistance every year from 1960 to 2000, reaching 7.5 per cent of its national income in 1973, the year after Dom Mintoff negotiated 14 million pounds a year from Britain and its NATO allies for the use of the harbour. Portugal received remittances worth 9.3 per cent of its GDP in 1979, above the average for a small island state today. Both figures are sources: somebody counted something under rules that have a date, and the record says how much money arrived and not who decided what to do with it. The session teaches the two flows and the rules behind their numbers, puts Malta in 1972 and Tonga in 2026 side by side to ask who decided each flow, and then hands the students one figure each to read as a source and turn into a classroom exercise. It closes on the disagreement in the scholarship between reading dependence as something done to small states and reading the same records as bargaining, stated as a disagreement that a school textbook settles on every page without saying so.</w:t>
      </w:r>
    </w:p>
    <w:p>
      <w:pPr>
        <w:spacing w:after="80" w:line="264" w:lineRule="auto" w:before="200"/>
      </w:pPr>
      <w:r>
        <w:rPr>
          <w:rFonts w:ascii="Times New Roman" w:hAnsi="Times New Roman"/>
          <w:b/>
          <w:i w:val="0"/>
          <w:color w:val="000000"/>
          <w:sz w:val="26"/>
        </w:rPr>
        <w:t>How the ninety minutes run</w:t>
      </w:r>
    </w:p>
    <w:p>
      <w:pPr>
        <w:spacing w:after="100" w:line="264" w:lineRule="auto"/>
      </w:pPr>
      <w:r>
        <w:rPr>
          <w:rFonts w:ascii="Times New Roman" w:hAnsi="Times New Roman"/>
          <w:b/>
          <w:color w:val="000000"/>
        </w:rPr>
        <w:t xml:space="preserve">12:15, five minutes. </w:t>
      </w:r>
      <w:r>
        <w:rPr>
          <w:rFonts w:ascii="Times New Roman" w:hAnsi="Times New Roman"/>
          <w:color w:val="000000"/>
        </w:rPr>
        <w:t>Opening. Four bars on one screen: net aid to Malta in 1973, remittances to Portugal in 1979, and both flows to Tonga in 2023. The question for the session: the records say how much arrived, not who decided.</w:t>
      </w:r>
    </w:p>
    <w:p>
      <w:pPr>
        <w:spacing w:after="100" w:line="264" w:lineRule="auto"/>
      </w:pPr>
      <w:r>
        <w:rPr>
          <w:rFonts w:ascii="Times New Roman" w:hAnsi="Times New Roman"/>
          <w:b/>
          <w:color w:val="000000"/>
        </w:rPr>
        <w:t xml:space="preserve">12:20, twenty minutes. </w:t>
      </w:r>
      <w:r>
        <w:rPr>
          <w:rFonts w:ascii="Times New Roman" w:hAnsi="Times New Roman"/>
          <w:color w:val="000000"/>
        </w:rPr>
        <w:t>Two kinds of money and the rules behind the numbers. What counts as aid, a category the donor governments defined in 1969, and what counts as a remittance, a line in the balance of payments that misses cash carried home and parcels sent. The World Bank pages for Malta, Cyprus and Portugal are opened live, and the students read the shape of each line against the events they know: 1972, 1974, 1979, 1986.</w:t>
      </w:r>
    </w:p>
    <w:p>
      <w:pPr>
        <w:spacing w:after="100" w:line="264" w:lineRule="auto"/>
      </w:pPr>
      <w:r>
        <w:rPr>
          <w:rFonts w:ascii="Times New Roman" w:hAnsi="Times New Roman"/>
          <w:b/>
          <w:color w:val="000000"/>
        </w:rPr>
        <w:t xml:space="preserve">12:40, twenty minutes. </w:t>
      </w:r>
      <w:r>
        <w:rPr>
          <w:rFonts w:ascii="Times New Roman" w:hAnsi="Times New Roman"/>
          <w:color w:val="000000"/>
        </w:rPr>
        <w:t>Whose decision. Aid passes through five written decisions before it reaches a household; a remittance arrives with one named person and is written down nowhere. Malta in 1972 (the base agreement and the 140,000 emigrants) and Tonga in 2026 (aid at half the budget, remittances in nine households in ten, seasonal work schemes designed by the receiving governments of the workers) side by side, and the question FAR-SIDS now asks the households themselves.</w:t>
      </w:r>
    </w:p>
    <w:p>
      <w:pPr>
        <w:spacing w:after="100" w:line="264" w:lineRule="auto"/>
      </w:pPr>
      <w:r>
        <w:rPr>
          <w:rFonts w:ascii="Times New Roman" w:hAnsi="Times New Roman"/>
          <w:b/>
          <w:color w:val="000000"/>
        </w:rPr>
        <w:t xml:space="preserve">13:00, twenty five minutes. </w:t>
      </w:r>
      <w:r>
        <w:rPr>
          <w:rFonts w:ascii="Times New Roman" w:hAnsi="Times New Roman"/>
          <w:color w:val="000000"/>
        </w:rPr>
        <w:t>Breakout in four rooms of about four students. Each room has one page, a figure with its rules (the four packs below). The group writes what the figure counts, who made the record and what it leaves out, and then the two questions it would put to a class of sixteen year olds, with the answer it would hope for.</w:t>
      </w:r>
    </w:p>
    <w:p>
      <w:pPr>
        <w:spacing w:after="100" w:line="264" w:lineRule="auto"/>
      </w:pPr>
      <w:r>
        <w:rPr>
          <w:rFonts w:ascii="Times New Roman" w:hAnsi="Times New Roman"/>
          <w:b/>
          <w:color w:val="000000"/>
        </w:rPr>
        <w:t xml:space="preserve">13:25, fifteen minutes. </w:t>
      </w:r>
      <w:r>
        <w:rPr>
          <w:rFonts w:ascii="Times New Roman" w:hAnsi="Times New Roman"/>
          <w:color w:val="000000"/>
        </w:rPr>
        <w:t>Report back, two minutes a room, and the disagreement: Prebisch, Frank and the MIRAB model on one side, Fox, Katzenstein and Baldacchino on the other, with the four packs as the evidence both sides cite.</w:t>
      </w:r>
    </w:p>
    <w:p>
      <w:pPr>
        <w:spacing w:after="100" w:line="264" w:lineRule="auto"/>
      </w:pPr>
      <w:r>
        <w:rPr>
          <w:rFonts w:ascii="Times New Roman" w:hAnsi="Times New Roman"/>
          <w:b/>
          <w:color w:val="000000"/>
        </w:rPr>
        <w:t xml:space="preserve">13:40, five minutes. </w:t>
      </w:r>
      <w:r>
        <w:rPr>
          <w:rFonts w:ascii="Times New Roman" w:hAnsi="Times New Roman"/>
          <w:color w:val="000000"/>
        </w:rPr>
        <w:t>Close. One sentence, three readings, contact details.</w:t>
      </w:r>
    </w:p>
    <w:p>
      <w:pPr>
        <w:spacing w:after="80" w:line="264" w:lineRule="auto" w:before="200"/>
      </w:pPr>
      <w:r>
        <w:rPr>
          <w:rFonts w:ascii="Times New Roman" w:hAnsi="Times New Roman"/>
          <w:b/>
          <w:i w:val="0"/>
          <w:color w:val="000000"/>
          <w:sz w:val="26"/>
        </w:rPr>
        <w:t>The four source packs (one page each, circulated the week before)</w:t>
      </w:r>
    </w:p>
    <w:p>
      <w:pPr>
        <w:spacing w:after="100" w:line="264" w:lineRule="auto"/>
      </w:pPr>
      <w:r>
        <w:rPr>
          <w:rFonts w:ascii="Times New Roman" w:hAnsi="Times New Roman"/>
          <w:b/>
          <w:color w:val="000000"/>
        </w:rPr>
        <w:t xml:space="preserve">Pack A. </w:t>
      </w:r>
      <w:r>
        <w:rPr>
          <w:rFonts w:ascii="Times New Roman" w:hAnsi="Times New Roman"/>
          <w:color w:val="000000"/>
        </w:rPr>
        <w:t>Malta, net aid received as a share of national income, 1970 to 1985, one row per year from the World Bank series, with the 1972 defence agreement and the 1979 closure of the British base marked.</w:t>
      </w:r>
    </w:p>
    <w:p>
      <w:pPr>
        <w:spacing w:after="100" w:line="264" w:lineRule="auto"/>
      </w:pPr>
      <w:r>
        <w:rPr>
          <w:rFonts w:ascii="Times New Roman" w:hAnsi="Times New Roman"/>
          <w:b/>
          <w:color w:val="000000"/>
        </w:rPr>
        <w:t xml:space="preserve">Pack B. </w:t>
      </w:r>
      <w:r>
        <w:rPr>
          <w:rFonts w:ascii="Times New Roman" w:hAnsi="Times New Roman"/>
          <w:color w:val="000000"/>
        </w:rPr>
        <w:t>Portugal, remittances received as a share of GDP, 1975 to 1995, one row per year from the World Bank series, with the 1974 revolution and the 1986 accession to the European Community marked.</w:t>
      </w:r>
    </w:p>
    <w:p>
      <w:pPr>
        <w:spacing w:after="100" w:line="264" w:lineRule="auto"/>
      </w:pPr>
      <w:r>
        <w:rPr>
          <w:rFonts w:ascii="Times New Roman" w:hAnsi="Times New Roman"/>
          <w:b/>
          <w:color w:val="000000"/>
        </w:rPr>
        <w:t xml:space="preserve">Pack C. </w:t>
      </w:r>
      <w:r>
        <w:rPr>
          <w:rFonts w:ascii="Times New Roman" w:hAnsi="Times New Roman"/>
          <w:color w:val="000000"/>
        </w:rPr>
        <w:t>Tonga, one page of the 2021 Household Income and Expenditure Survey report: 90 in every 100 households received cash remittances in the last twelve months, 96 in 100 of those headed by a woman, and the share of the money from New Zealand, Australia and the United States.</w:t>
      </w:r>
    </w:p>
    <w:p>
      <w:pPr>
        <w:spacing w:after="100" w:line="264" w:lineRule="auto"/>
      </w:pPr>
      <w:r>
        <w:rPr>
          <w:rFonts w:ascii="Times New Roman" w:hAnsi="Times New Roman"/>
          <w:b/>
          <w:color w:val="000000"/>
        </w:rPr>
        <w:t xml:space="preserve">Pack D. </w:t>
      </w:r>
      <w:r>
        <w:rPr>
          <w:rFonts w:ascii="Times New Roman" w:hAnsi="Times New Roman"/>
          <w:color w:val="000000"/>
        </w:rPr>
        <w:t>The paragraph of the OECD casebook on migration (2023) that rules on New Zealand and Australian seasonal work schemes: the training attached to the scheme counts as aid, its running costs do not, and migrants sending money home does not make a programme aid.</w:t>
      </w:r>
    </w:p>
    <w:p>
      <w:pPr>
        <w:spacing w:after="80" w:line="264" w:lineRule="auto" w:before="200"/>
      </w:pPr>
      <w:r>
        <w:rPr>
          <w:rFonts w:ascii="Times New Roman" w:hAnsi="Times New Roman"/>
          <w:b/>
          <w:i w:val="0"/>
          <w:color w:val="000000"/>
          <w:sz w:val="26"/>
        </w:rPr>
        <w:t>What I would ask of you</w:t>
      </w:r>
    </w:p>
    <w:p>
      <w:pPr>
        <w:spacing w:after="120" w:line="264" w:lineRule="auto"/>
      </w:pPr>
      <w:r>
        <w:rPr>
          <w:rFonts w:ascii="Times New Roman" w:hAnsi="Times New Roman"/>
          <w:b w:val="0"/>
          <w:i w:val="0"/>
          <w:color w:val="000000"/>
        </w:rPr>
        <w:t>Breakout rooms for four groups at 13:00, the four packs sent to the students in the week before with the note that no preparation beyond reading their page is needed, and a shared screen or document on which I can write the groups' questions as they report. No prior knowledge of development economics is assumed; every term is explained on first use in the session itself.</w:t>
      </w:r>
    </w:p>
    <w:p>
      <w:pPr>
        <w:spacing w:after="80" w:line="264" w:lineRule="auto" w:before="200"/>
      </w:pPr>
      <w:r>
        <w:rPr>
          <w:rFonts w:ascii="Times New Roman" w:hAnsi="Times New Roman"/>
          <w:b/>
          <w:i w:val="0"/>
          <w:color w:val="000000"/>
          <w:sz w:val="26"/>
        </w:rPr>
        <w:t>Readings, for students who want them</w:t>
      </w:r>
    </w:p>
    <w:p>
      <w:pPr>
        <w:spacing w:after="60" w:line="264" w:lineRule="auto"/>
      </w:pPr>
      <w:r>
        <w:rPr>
          <w:rFonts w:ascii="Times New Roman" w:hAnsi="Times New Roman"/>
          <w:b w:val="0"/>
          <w:i w:val="0"/>
          <w:color w:val="000000"/>
        </w:rPr>
        <w:t xml:space="preserve">Bertram, G. and Watters, R. F. (1985) The MIRAB economy in South Pacific microstates. Pacific Viewpoint, 26(3), 497 to 519. </w:t>
      </w:r>
      <w:hyperlink r:id="rId9">
        <w:r>
          <w:rPr>
            <w:u w:val="single"/>
            <w:rFonts w:ascii="Times New Roman" w:hAnsi="Times New Roman"/>
          </w:rPr>
          <w:t xml:space="preserve">https://doi.org/10.1111/apv.263002</w:t>
        </w:r>
      </w:hyperlink>
    </w:p>
    <w:p>
      <w:pPr>
        <w:spacing w:after="60" w:line="264" w:lineRule="auto"/>
      </w:pPr>
      <w:r>
        <w:rPr>
          <w:rFonts w:ascii="Times New Roman" w:hAnsi="Times New Roman"/>
          <w:b w:val="0"/>
          <w:i w:val="0"/>
          <w:color w:val="000000"/>
        </w:rPr>
        <w:t>Katzenstein, P. J. (1985) Small States in World Markets: industrial policy in Europe. Ithaca: Cornell University Press. Chapter 1.</w:t>
      </w:r>
    </w:p>
    <w:p>
      <w:pPr>
        <w:spacing w:after="60" w:line="264" w:lineRule="auto"/>
      </w:pPr>
      <w:r>
        <w:rPr>
          <w:rFonts w:ascii="Times New Roman" w:hAnsi="Times New Roman"/>
          <w:b w:val="0"/>
          <w:i w:val="0"/>
          <w:color w:val="000000"/>
        </w:rPr>
        <w:t xml:space="preserve">Malifa, E. and others (eds) (2026) The State of SIDS Report 2026: defending the special case. London: ODI Global. Summary for policy-makers, pages 3 to 13. </w:t>
      </w:r>
      <w:hyperlink r:id="rId10">
        <w:r>
          <w:rPr>
            <w:u w:val="single"/>
            <w:rFonts w:ascii="Times New Roman" w:hAnsi="Times New Roman"/>
          </w:rPr>
          <w:t xml:space="preserve">https://odi.org/en/publications/the-state-of-sids-report-2026-defending-the-special-case/</w:t>
        </w:r>
      </w:hyperlink>
    </w:p>
    <w:p>
      <w:pPr>
        <w:spacing w:after="60" w:line="264" w:lineRule="auto"/>
      </w:pPr>
      <w:r>
        <w:rPr>
          <w:rFonts w:ascii="Times New Roman" w:hAnsi="Times New Roman"/>
          <w:b w:val="0"/>
          <w:i w:val="0"/>
          <w:color w:val="000000"/>
        </w:rPr>
        <w:t xml:space="preserve">World Bank, net ODA received as a share of GNI, and personal remittances received as a share of GDP, any country. </w:t>
      </w:r>
      <w:hyperlink r:id="rId11">
        <w:r>
          <w:rPr>
            <w:u w:val="single"/>
            <w:rFonts w:ascii="Times New Roman" w:hAnsi="Times New Roman"/>
          </w:rPr>
          <w:t xml:space="preserve">https://data.worldbank.org/indicator/DT.ODA.ODAT.GN.ZS</w:t>
        </w:r>
      </w:hyperlink>
      <w:r>
        <w:t xml:space="preserve"> and </w:t>
      </w:r>
      <w:hyperlink r:id="rId12">
        <w:r>
          <w:rPr>
            <w:u w:val="single"/>
            <w:rFonts w:ascii="Times New Roman" w:hAnsi="Times New Roman"/>
          </w:rPr>
          <w:t xml:space="preserve">https://data.worldbank.org/indicator/BX.TRF.PWKR.DT.GD.ZS</w:t>
        </w:r>
      </w:hyperlink>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11/apv.263002" TargetMode="External"/><Relationship Id="rId10" Type="http://schemas.openxmlformats.org/officeDocument/2006/relationships/hyperlink" Target="https://odi.org/en/publications/the-state-of-sids-report-2026-defending-the-special-case/" TargetMode="External"/><Relationship Id="rId11" Type="http://schemas.openxmlformats.org/officeDocument/2006/relationships/hyperlink" Target="https://data.worldbank.org/indicator/DT.ODA.ODAT.GN.ZS" TargetMode="External"/><Relationship Id="rId12" Type="http://schemas.openxmlformats.org/officeDocument/2006/relationships/hyperlink" Target="https://data.worldbank.org/indicator/BX.TRF.PWKR.DT.GD.Z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