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pPr>
      <w:r>
        <w:rPr>
          <w:rFonts w:ascii="Times New Roman" w:hAnsi="Times New Roman"/>
          <w:b/>
          <w:i w:val="0"/>
          <w:color w:val="000000"/>
          <w:sz w:val="26"/>
        </w:rPr>
        <w:t>Source pack A</w:t>
      </w:r>
    </w:p>
    <w:p>
      <w:pPr>
        <w:spacing w:after="160" w:line="264" w:lineRule="auto"/>
      </w:pPr>
      <w:r>
        <w:rPr>
          <w:rFonts w:ascii="Times New Roman" w:hAnsi="Times New Roman"/>
          <w:b/>
          <w:i w:val="0"/>
          <w:color w:val="000000"/>
          <w:sz w:val="30"/>
        </w:rPr>
        <w:t>Malta: net official development assistance received, as a share of gross national income, 1970 to 1985</w:t>
      </w:r>
    </w:p>
    <w:p>
      <w:pPr>
        <w:spacing w:after="120" w:line="264" w:lineRule="auto"/>
      </w:pPr>
      <w:r>
        <w:rPr>
          <w:rFonts w:ascii="Times New Roman" w:hAnsi="Times New Roman"/>
          <w:b w:val="0"/>
          <w:i w:val="0"/>
          <w:color w:val="000000"/>
        </w:rPr>
        <w:t>Source: World Bank, World Development Indicators, indicator DT.ODA.ODAT.GN.ZS, net official development assistance received (per cent of GNI), read on 16 September 2026. The figures are reported to the OECD by the donor governments and divided by Malta's gross national income. Net means that repayments of earlier aid loans have been subtracted.</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Times New Roman" w:hAnsi="Times New Roman"/>
                <w:b/>
                <w:color w:val="000000"/>
                <w:sz w:val="21"/>
              </w:rPr>
              <w:t>Year</w:t>
            </w:r>
          </w:p>
        </w:tc>
        <w:tc>
          <w:tcPr>
            <w:tcW w:type="dxa" w:w="3249"/>
          </w:tcPr>
          <w:p>
            <w:r>
              <w:rPr>
                <w:rFonts w:ascii="Times New Roman" w:hAnsi="Times New Roman"/>
                <w:b/>
                <w:color w:val="000000"/>
                <w:sz w:val="21"/>
              </w:rPr>
              <w:t>Per cent of GNI</w:t>
            </w:r>
          </w:p>
        </w:tc>
        <w:tc>
          <w:tcPr>
            <w:tcW w:type="dxa" w:w="3249"/>
          </w:tcPr>
          <w:p>
            <w:r>
              <w:rPr>
                <w:rFonts w:ascii="Times New Roman" w:hAnsi="Times New Roman"/>
                <w:b/>
                <w:color w:val="000000"/>
                <w:sz w:val="21"/>
              </w:rPr>
              <w:t>What happened that year</w:t>
            </w:r>
          </w:p>
        </w:tc>
      </w:tr>
      <w:tr>
        <w:tc>
          <w:tcPr>
            <w:tcW w:type="dxa" w:w="3249"/>
          </w:tcPr>
          <w:p>
            <w:r>
              <w:rPr>
                <w:rFonts w:ascii="Times New Roman" w:hAnsi="Times New Roman"/>
                <w:color w:val="000000"/>
                <w:sz w:val="21"/>
              </w:rPr>
              <w:t>1970</w:t>
            </w:r>
          </w:p>
        </w:tc>
        <w:tc>
          <w:tcPr>
            <w:tcW w:type="dxa" w:w="3249"/>
          </w:tcPr>
          <w:p>
            <w:r>
              <w:rPr>
                <w:rFonts w:ascii="Times New Roman" w:hAnsi="Times New Roman"/>
                <w:color w:val="000000"/>
                <w:sz w:val="21"/>
              </w:rPr>
              <w:t>7.2</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1971</w:t>
            </w:r>
          </w:p>
        </w:tc>
        <w:tc>
          <w:tcPr>
            <w:tcW w:type="dxa" w:w="3249"/>
          </w:tcPr>
          <w:p>
            <w:r>
              <w:rPr>
                <w:rFonts w:ascii="Times New Roman" w:hAnsi="Times New Roman"/>
                <w:color w:val="000000"/>
                <w:sz w:val="21"/>
              </w:rPr>
              <w:t>5.6</w:t>
            </w:r>
          </w:p>
        </w:tc>
        <w:tc>
          <w:tcPr>
            <w:tcW w:type="dxa" w:w="3249"/>
          </w:tcPr>
          <w:p>
            <w:r>
              <w:rPr>
                <w:rFonts w:ascii="Times New Roman" w:hAnsi="Times New Roman"/>
                <w:color w:val="000000"/>
                <w:sz w:val="21"/>
              </w:rPr>
              <w:t>Dom Mintoff becomes prime minister (June)</w:t>
            </w:r>
          </w:p>
        </w:tc>
      </w:tr>
      <w:tr>
        <w:tc>
          <w:tcPr>
            <w:tcW w:type="dxa" w:w="3249"/>
          </w:tcPr>
          <w:p>
            <w:r>
              <w:rPr>
                <w:rFonts w:ascii="Times New Roman" w:hAnsi="Times New Roman"/>
                <w:color w:val="000000"/>
                <w:sz w:val="21"/>
              </w:rPr>
              <w:t>1972</w:t>
            </w:r>
          </w:p>
        </w:tc>
        <w:tc>
          <w:tcPr>
            <w:tcW w:type="dxa" w:w="3249"/>
          </w:tcPr>
          <w:p>
            <w:r>
              <w:rPr>
                <w:rFonts w:ascii="Times New Roman" w:hAnsi="Times New Roman"/>
                <w:color w:val="000000"/>
                <w:sz w:val="21"/>
              </w:rPr>
              <w:t>4.7</w:t>
            </w:r>
          </w:p>
        </w:tc>
        <w:tc>
          <w:tcPr>
            <w:tcW w:type="dxa" w:w="3249"/>
          </w:tcPr>
          <w:p>
            <w:r>
              <w:rPr>
                <w:rFonts w:ascii="Times New Roman" w:hAnsi="Times New Roman"/>
                <w:color w:val="000000"/>
                <w:sz w:val="21"/>
              </w:rPr>
              <w:t>Defence agreement with Britain and NATO signed 26 March: 14 million pounds a year for seven years</w:t>
            </w:r>
          </w:p>
        </w:tc>
      </w:tr>
      <w:tr>
        <w:tc>
          <w:tcPr>
            <w:tcW w:type="dxa" w:w="3249"/>
          </w:tcPr>
          <w:p>
            <w:r>
              <w:rPr>
                <w:rFonts w:ascii="Times New Roman" w:hAnsi="Times New Roman"/>
                <w:color w:val="000000"/>
                <w:sz w:val="21"/>
              </w:rPr>
              <w:t>1973</w:t>
            </w:r>
          </w:p>
        </w:tc>
        <w:tc>
          <w:tcPr>
            <w:tcW w:type="dxa" w:w="3249"/>
          </w:tcPr>
          <w:p>
            <w:r>
              <w:rPr>
                <w:rFonts w:ascii="Times New Roman" w:hAnsi="Times New Roman"/>
                <w:color w:val="000000"/>
                <w:sz w:val="21"/>
              </w:rPr>
              <w:t>7.5</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1974</w:t>
            </w:r>
          </w:p>
        </w:tc>
        <w:tc>
          <w:tcPr>
            <w:tcW w:type="dxa" w:w="3249"/>
          </w:tcPr>
          <w:p>
            <w:r>
              <w:rPr>
                <w:rFonts w:ascii="Times New Roman" w:hAnsi="Times New Roman"/>
                <w:color w:val="000000"/>
                <w:sz w:val="21"/>
              </w:rPr>
              <w:t>5.2</w:t>
            </w:r>
          </w:p>
        </w:tc>
        <w:tc>
          <w:tcPr>
            <w:tcW w:type="dxa" w:w="3249"/>
          </w:tcPr>
          <w:p>
            <w:r>
              <w:rPr>
                <w:rFonts w:ascii="Times New Roman" w:hAnsi="Times New Roman"/>
                <w:color w:val="000000"/>
                <w:sz w:val="21"/>
              </w:rPr>
              <w:t>Malta becomes a republic (December)</w:t>
            </w:r>
          </w:p>
        </w:tc>
      </w:tr>
      <w:tr>
        <w:tc>
          <w:tcPr>
            <w:tcW w:type="dxa" w:w="3249"/>
          </w:tcPr>
          <w:p>
            <w:r>
              <w:rPr>
                <w:rFonts w:ascii="Times New Roman" w:hAnsi="Times New Roman"/>
                <w:color w:val="000000"/>
                <w:sz w:val="21"/>
              </w:rPr>
              <w:t>1975</w:t>
            </w:r>
          </w:p>
        </w:tc>
        <w:tc>
          <w:tcPr>
            <w:tcW w:type="dxa" w:w="3249"/>
          </w:tcPr>
          <w:p>
            <w:r>
              <w:rPr>
                <w:rFonts w:ascii="Times New Roman" w:hAnsi="Times New Roman"/>
                <w:color w:val="000000"/>
                <w:sz w:val="21"/>
              </w:rPr>
              <w:t>6.4</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1976</w:t>
            </w:r>
          </w:p>
        </w:tc>
        <w:tc>
          <w:tcPr>
            <w:tcW w:type="dxa" w:w="3249"/>
          </w:tcPr>
          <w:p>
            <w:r>
              <w:rPr>
                <w:rFonts w:ascii="Times New Roman" w:hAnsi="Times New Roman"/>
                <w:color w:val="000000"/>
                <w:sz w:val="21"/>
              </w:rPr>
              <w:t>5.3</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1977</w:t>
            </w:r>
          </w:p>
        </w:tc>
        <w:tc>
          <w:tcPr>
            <w:tcW w:type="dxa" w:w="3249"/>
          </w:tcPr>
          <w:p>
            <w:r>
              <w:rPr>
                <w:rFonts w:ascii="Times New Roman" w:hAnsi="Times New Roman"/>
                <w:color w:val="000000"/>
                <w:sz w:val="21"/>
              </w:rPr>
              <w:t>4.6</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1978</w:t>
            </w:r>
          </w:p>
        </w:tc>
        <w:tc>
          <w:tcPr>
            <w:tcW w:type="dxa" w:w="3249"/>
          </w:tcPr>
          <w:p>
            <w:r>
              <w:rPr>
                <w:rFonts w:ascii="Times New Roman" w:hAnsi="Times New Roman"/>
                <w:color w:val="000000"/>
                <w:sz w:val="21"/>
              </w:rPr>
              <w:t>4.7</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1979</w:t>
            </w:r>
          </w:p>
        </w:tc>
        <w:tc>
          <w:tcPr>
            <w:tcW w:type="dxa" w:w="3249"/>
          </w:tcPr>
          <w:p>
            <w:r>
              <w:rPr>
                <w:rFonts w:ascii="Times New Roman" w:hAnsi="Times New Roman"/>
                <w:color w:val="000000"/>
                <w:sz w:val="21"/>
              </w:rPr>
              <w:t>5.0</w:t>
            </w:r>
          </w:p>
        </w:tc>
        <w:tc>
          <w:tcPr>
            <w:tcW w:type="dxa" w:w="3249"/>
          </w:tcPr>
          <w:p>
            <w:r>
              <w:rPr>
                <w:rFonts w:ascii="Times New Roman" w:hAnsi="Times New Roman"/>
                <w:color w:val="000000"/>
                <w:sz w:val="21"/>
              </w:rPr>
              <w:t>The last British forces leave, 31 March</w:t>
            </w:r>
          </w:p>
        </w:tc>
      </w:tr>
      <w:tr>
        <w:tc>
          <w:tcPr>
            <w:tcW w:type="dxa" w:w="3249"/>
          </w:tcPr>
          <w:p>
            <w:r>
              <w:rPr>
                <w:rFonts w:ascii="Times New Roman" w:hAnsi="Times New Roman"/>
                <w:color w:val="000000"/>
                <w:sz w:val="21"/>
              </w:rPr>
              <w:t>1980</w:t>
            </w:r>
          </w:p>
        </w:tc>
        <w:tc>
          <w:tcPr>
            <w:tcW w:type="dxa" w:w="3249"/>
          </w:tcPr>
          <w:p>
            <w:r>
              <w:rPr>
                <w:rFonts w:ascii="Times New Roman" w:hAnsi="Times New Roman"/>
                <w:color w:val="000000"/>
                <w:sz w:val="21"/>
              </w:rPr>
              <w:t>1.2</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1981</w:t>
            </w:r>
          </w:p>
        </w:tc>
        <w:tc>
          <w:tcPr>
            <w:tcW w:type="dxa" w:w="3249"/>
          </w:tcPr>
          <w:p>
            <w:r>
              <w:rPr>
                <w:rFonts w:ascii="Times New Roman" w:hAnsi="Times New Roman"/>
                <w:color w:val="000000"/>
                <w:sz w:val="21"/>
              </w:rPr>
              <w:t>3.6</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1982</w:t>
            </w:r>
          </w:p>
        </w:tc>
        <w:tc>
          <w:tcPr>
            <w:tcW w:type="dxa" w:w="3249"/>
          </w:tcPr>
          <w:p>
            <w:r>
              <w:rPr>
                <w:rFonts w:ascii="Times New Roman" w:hAnsi="Times New Roman"/>
                <w:color w:val="000000"/>
                <w:sz w:val="21"/>
              </w:rPr>
              <w:t>1.8</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1983</w:t>
            </w:r>
          </w:p>
        </w:tc>
        <w:tc>
          <w:tcPr>
            <w:tcW w:type="dxa" w:w="3249"/>
          </w:tcPr>
          <w:p>
            <w:r>
              <w:rPr>
                <w:rFonts w:ascii="Times New Roman" w:hAnsi="Times New Roman"/>
                <w:color w:val="000000"/>
                <w:sz w:val="21"/>
              </w:rPr>
              <w:t>3.5</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1984</w:t>
            </w:r>
          </w:p>
        </w:tc>
        <w:tc>
          <w:tcPr>
            <w:tcW w:type="dxa" w:w="3249"/>
          </w:tcPr>
          <w:p>
            <w:r>
              <w:rPr>
                <w:rFonts w:ascii="Times New Roman" w:hAnsi="Times New Roman"/>
                <w:color w:val="000000"/>
                <w:sz w:val="21"/>
              </w:rPr>
              <w:t>0.9</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1985</w:t>
            </w:r>
          </w:p>
        </w:tc>
        <w:tc>
          <w:tcPr>
            <w:tcW w:type="dxa" w:w="3249"/>
          </w:tcPr>
          <w:p>
            <w:r>
              <w:rPr>
                <w:rFonts w:ascii="Times New Roman" w:hAnsi="Times New Roman"/>
                <w:color w:val="000000"/>
                <w:sz w:val="21"/>
              </w:rPr>
              <w:t>1.5</w:t>
            </w:r>
          </w:p>
        </w:tc>
        <w:tc>
          <w:tcPr>
            <w:tcW w:type="dxa" w:w="3249"/>
          </w:tcPr>
          <w:p>
            <w:r>
              <w:rPr>
                <w:rFonts w:ascii="Times New Roman" w:hAnsi="Times New Roman"/>
                <w:color w:val="000000"/>
                <w:sz w:val="21"/>
              </w:rPr>
            </w:r>
          </w:p>
        </w:tc>
      </w:tr>
    </w:tbl>
    <w:p>
      <w:pPr>
        <w:spacing w:after="80" w:line="264" w:lineRule="auto"/>
      </w:pPr>
      <w:r>
        <w:rPr>
          <w:rFonts w:ascii="Times New Roman" w:hAnsi="Times New Roman"/>
          <w:b w:val="0"/>
          <w:i w:val="0"/>
          <w:color w:val="000000"/>
        </w:rPr>
      </w:r>
    </w:p>
    <w:p>
      <w:pPr>
        <w:spacing w:after="120" w:line="264" w:lineRule="auto"/>
      </w:pPr>
      <w:r>
        <w:rPr>
          <w:rFonts w:ascii="Times New Roman" w:hAnsi="Times New Roman"/>
          <w:b w:val="0"/>
          <w:i w:val="0"/>
          <w:color w:val="000000"/>
        </w:rPr>
        <w:t>The rule behind the number. A payment counts as official development assistance only if it comes from a government or an official agency, goes to a country on the OECD list of aid recipients, has the development and welfare of that country as its main purpose, and is a grant or a loan on much cheaper terms than a bank would give. The OECD Development Assistance Committee wrote these conditions in 1969 and tightened the loan rule in 1972. Malta stayed on the list of recipients until the 1990s; the series ends in 2000 at 0.5 per cent.</w:t>
      </w:r>
    </w:p>
    <w:p>
      <w:pPr>
        <w:spacing w:after="120" w:line="264" w:lineRule="auto"/>
      </w:pPr>
      <w:r>
        <w:rPr>
          <w:rFonts w:ascii="Times New Roman" w:hAnsi="Times New Roman"/>
          <w:b w:val="0"/>
          <w:i w:val="0"/>
          <w:color w:val="000000"/>
        </w:rPr>
        <w:t>Also on the record. Between 1946 and the late 1970s more than 140,000 Maltese left on assisted passages, 58 in every 100 of them to Australia, from a population of about 320,000 (King, 1979). The money they sent home is not in this table; it is in a different series, as remittances, which stood at 6.9 per cent of GDP in 1971.</w:t>
      </w:r>
    </w:p>
    <w:p>
      <w:pPr>
        <w:spacing w:after="80" w:line="264" w:lineRule="auto" w:before="200"/>
      </w:pPr>
      <w:r>
        <w:rPr>
          <w:rFonts w:ascii="Times New Roman" w:hAnsi="Times New Roman"/>
          <w:b/>
          <w:i w:val="0"/>
          <w:color w:val="000000"/>
          <w:sz w:val="26"/>
        </w:rPr>
        <w:t>The task, twenty minutes</w:t>
      </w:r>
    </w:p>
    <w:p>
      <w:pPr>
        <w:spacing w:after="120" w:line="264" w:lineRule="auto"/>
      </w:pPr>
      <w:r>
        <w:rPr>
          <w:rFonts w:ascii="Times New Roman" w:hAnsi="Times New Roman"/>
          <w:b w:val="0"/>
          <w:i w:val="0"/>
          <w:color w:val="000000"/>
        </w:rPr>
        <w:t>Read the page together. Write down what the figure counts, who made the record, and what it leaves out. Then write the two questions you would put to a class of sixteen year olds about this page, and the answer you would hope for. Every question must be answerable from the page, or must name what the students would need to find out and where. One person reports for the group in two minutes.</w:t>
      </w:r>
    </w:p>
    <w:p>
      <w:r>
        <w:br w:type="page"/>
      </w:r>
    </w:p>
    <w:p>
      <w:pPr>
        <w:spacing w:after="40" w:line="264" w:lineRule="auto"/>
      </w:pPr>
      <w:r>
        <w:rPr>
          <w:rFonts w:ascii="Times New Roman" w:hAnsi="Times New Roman"/>
          <w:b/>
          <w:i w:val="0"/>
          <w:color w:val="000000"/>
          <w:sz w:val="26"/>
        </w:rPr>
        <w:t>Source pack B</w:t>
      </w:r>
    </w:p>
    <w:p>
      <w:pPr>
        <w:spacing w:after="160" w:line="264" w:lineRule="auto"/>
      </w:pPr>
      <w:r>
        <w:rPr>
          <w:rFonts w:ascii="Times New Roman" w:hAnsi="Times New Roman"/>
          <w:b/>
          <w:i w:val="0"/>
          <w:color w:val="000000"/>
          <w:sz w:val="30"/>
        </w:rPr>
        <w:t>Portugal: personal remittances received, as a share of GDP, 1975 to 1995</w:t>
      </w:r>
    </w:p>
    <w:p>
      <w:pPr>
        <w:spacing w:after="120" w:line="264" w:lineRule="auto"/>
      </w:pPr>
      <w:r>
        <w:rPr>
          <w:rFonts w:ascii="Times New Roman" w:hAnsi="Times New Roman"/>
          <w:b w:val="0"/>
          <w:i w:val="0"/>
          <w:color w:val="000000"/>
        </w:rPr>
        <w:t>Source: World Bank, World Development Indicators, indicator BX.TRF.PWKR.DT.GD.ZS, personal remittances received (per cent of GDP), read on 16 September 2026. The figures come from the Bank of Portugal's balance of payments, which adds together what banks and transfer companies reported paying out to households.</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Times New Roman" w:hAnsi="Times New Roman"/>
                <w:b/>
                <w:color w:val="000000"/>
                <w:sz w:val="21"/>
              </w:rPr>
              <w:t>Year</w:t>
            </w:r>
          </w:p>
        </w:tc>
        <w:tc>
          <w:tcPr>
            <w:tcW w:type="dxa" w:w="3249"/>
          </w:tcPr>
          <w:p>
            <w:r>
              <w:rPr>
                <w:rFonts w:ascii="Times New Roman" w:hAnsi="Times New Roman"/>
                <w:b/>
                <w:color w:val="000000"/>
                <w:sz w:val="21"/>
              </w:rPr>
              <w:t>Per cent of GDP</w:t>
            </w:r>
          </w:p>
        </w:tc>
        <w:tc>
          <w:tcPr>
            <w:tcW w:type="dxa" w:w="3249"/>
          </w:tcPr>
          <w:p>
            <w:r>
              <w:rPr>
                <w:rFonts w:ascii="Times New Roman" w:hAnsi="Times New Roman"/>
                <w:b/>
                <w:color w:val="000000"/>
                <w:sz w:val="21"/>
              </w:rPr>
              <w:t>What happened that year</w:t>
            </w:r>
          </w:p>
        </w:tc>
      </w:tr>
      <w:tr>
        <w:tc>
          <w:tcPr>
            <w:tcW w:type="dxa" w:w="3249"/>
          </w:tcPr>
          <w:p>
            <w:r>
              <w:rPr>
                <w:rFonts w:ascii="Times New Roman" w:hAnsi="Times New Roman"/>
                <w:color w:val="000000"/>
                <w:sz w:val="21"/>
              </w:rPr>
              <w:t>1974</w:t>
            </w:r>
          </w:p>
        </w:tc>
        <w:tc>
          <w:tcPr>
            <w:tcW w:type="dxa" w:w="3249"/>
          </w:tcPr>
          <w:p>
            <w:r>
              <w:rPr>
                <w:rFonts w:ascii="Times New Roman" w:hAnsi="Times New Roman"/>
                <w:color w:val="000000"/>
                <w:sz w:val="21"/>
              </w:rPr>
              <w:t>no figure</w:t>
            </w:r>
          </w:p>
        </w:tc>
        <w:tc>
          <w:tcPr>
            <w:tcW w:type="dxa" w:w="3249"/>
          </w:tcPr>
          <w:p>
            <w:r>
              <w:rPr>
                <w:rFonts w:ascii="Times New Roman" w:hAnsi="Times New Roman"/>
                <w:color w:val="000000"/>
                <w:sz w:val="21"/>
              </w:rPr>
              <w:t>Revolution of 25 April ends the dictatorship; the colonial wars end</w:t>
            </w:r>
          </w:p>
        </w:tc>
      </w:tr>
      <w:tr>
        <w:tc>
          <w:tcPr>
            <w:tcW w:type="dxa" w:w="3249"/>
          </w:tcPr>
          <w:p>
            <w:r>
              <w:rPr>
                <w:rFonts w:ascii="Times New Roman" w:hAnsi="Times New Roman"/>
                <w:color w:val="000000"/>
                <w:sz w:val="21"/>
              </w:rPr>
              <w:t>1975</w:t>
            </w:r>
          </w:p>
        </w:tc>
        <w:tc>
          <w:tcPr>
            <w:tcW w:type="dxa" w:w="3249"/>
          </w:tcPr>
          <w:p>
            <w:r>
              <w:rPr>
                <w:rFonts w:ascii="Times New Roman" w:hAnsi="Times New Roman"/>
                <w:color w:val="000000"/>
                <w:sz w:val="21"/>
              </w:rPr>
              <w:t>5.8</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1976</w:t>
            </w:r>
          </w:p>
        </w:tc>
        <w:tc>
          <w:tcPr>
            <w:tcW w:type="dxa" w:w="3249"/>
          </w:tcPr>
          <w:p>
            <w:r>
              <w:rPr>
                <w:rFonts w:ascii="Times New Roman" w:hAnsi="Times New Roman"/>
                <w:color w:val="000000"/>
                <w:sz w:val="21"/>
              </w:rPr>
              <w:t>4.5</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1977</w:t>
            </w:r>
          </w:p>
        </w:tc>
        <w:tc>
          <w:tcPr>
            <w:tcW w:type="dxa" w:w="3249"/>
          </w:tcPr>
          <w:p>
            <w:r>
              <w:rPr>
                <w:rFonts w:ascii="Times New Roman" w:hAnsi="Times New Roman"/>
                <w:color w:val="000000"/>
                <w:sz w:val="21"/>
              </w:rPr>
              <w:t>5.6</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1978</w:t>
            </w:r>
          </w:p>
        </w:tc>
        <w:tc>
          <w:tcPr>
            <w:tcW w:type="dxa" w:w="3249"/>
          </w:tcPr>
          <w:p>
            <w:r>
              <w:rPr>
                <w:rFonts w:ascii="Times New Roman" w:hAnsi="Times New Roman"/>
                <w:color w:val="000000"/>
                <w:sz w:val="21"/>
              </w:rPr>
              <w:t>7.2</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1979</w:t>
            </w:r>
          </w:p>
        </w:tc>
        <w:tc>
          <w:tcPr>
            <w:tcW w:type="dxa" w:w="3249"/>
          </w:tcPr>
          <w:p>
            <w:r>
              <w:rPr>
                <w:rFonts w:ascii="Times New Roman" w:hAnsi="Times New Roman"/>
                <w:color w:val="000000"/>
                <w:sz w:val="21"/>
              </w:rPr>
              <w:t>9.3</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1980</w:t>
            </w:r>
          </w:p>
        </w:tc>
        <w:tc>
          <w:tcPr>
            <w:tcW w:type="dxa" w:w="3249"/>
          </w:tcPr>
          <w:p>
            <w:r>
              <w:rPr>
                <w:rFonts w:ascii="Times New Roman" w:hAnsi="Times New Roman"/>
                <w:color w:val="000000"/>
                <w:sz w:val="21"/>
              </w:rPr>
              <w:t>9.0</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1981</w:t>
            </w:r>
          </w:p>
        </w:tc>
        <w:tc>
          <w:tcPr>
            <w:tcW w:type="dxa" w:w="3249"/>
          </w:tcPr>
          <w:p>
            <w:r>
              <w:rPr>
                <w:rFonts w:ascii="Times New Roman" w:hAnsi="Times New Roman"/>
                <w:color w:val="000000"/>
                <w:sz w:val="21"/>
              </w:rPr>
              <w:t>9.0</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1982</w:t>
            </w:r>
          </w:p>
        </w:tc>
        <w:tc>
          <w:tcPr>
            <w:tcW w:type="dxa" w:w="3249"/>
          </w:tcPr>
          <w:p>
            <w:r>
              <w:rPr>
                <w:rFonts w:ascii="Times New Roman" w:hAnsi="Times New Roman"/>
                <w:color w:val="000000"/>
                <w:sz w:val="21"/>
              </w:rPr>
              <w:t>8.6</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1983</w:t>
            </w:r>
          </w:p>
        </w:tc>
        <w:tc>
          <w:tcPr>
            <w:tcW w:type="dxa" w:w="3249"/>
          </w:tcPr>
          <w:p>
            <w:r>
              <w:rPr>
                <w:rFonts w:ascii="Times New Roman" w:hAnsi="Times New Roman"/>
                <w:color w:val="000000"/>
                <w:sz w:val="21"/>
              </w:rPr>
              <w:t>8.0</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1984</w:t>
            </w:r>
          </w:p>
        </w:tc>
        <w:tc>
          <w:tcPr>
            <w:tcW w:type="dxa" w:w="3249"/>
          </w:tcPr>
          <w:p>
            <w:r>
              <w:rPr>
                <w:rFonts w:ascii="Times New Roman" w:hAnsi="Times New Roman"/>
                <w:color w:val="000000"/>
                <w:sz w:val="21"/>
              </w:rPr>
              <w:t>8.7</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1985</w:t>
            </w:r>
          </w:p>
        </w:tc>
        <w:tc>
          <w:tcPr>
            <w:tcW w:type="dxa" w:w="3249"/>
          </w:tcPr>
          <w:p>
            <w:r>
              <w:rPr>
                <w:rFonts w:ascii="Times New Roman" w:hAnsi="Times New Roman"/>
                <w:color w:val="000000"/>
                <w:sz w:val="21"/>
              </w:rPr>
              <w:t>8.0</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1986</w:t>
            </w:r>
          </w:p>
        </w:tc>
        <w:tc>
          <w:tcPr>
            <w:tcW w:type="dxa" w:w="3249"/>
          </w:tcPr>
          <w:p>
            <w:r>
              <w:rPr>
                <w:rFonts w:ascii="Times New Roman" w:hAnsi="Times New Roman"/>
                <w:color w:val="000000"/>
                <w:sz w:val="21"/>
              </w:rPr>
              <w:t>6.9</w:t>
            </w:r>
          </w:p>
        </w:tc>
        <w:tc>
          <w:tcPr>
            <w:tcW w:type="dxa" w:w="3249"/>
          </w:tcPr>
          <w:p>
            <w:r>
              <w:rPr>
                <w:rFonts w:ascii="Times New Roman" w:hAnsi="Times New Roman"/>
                <w:color w:val="000000"/>
                <w:sz w:val="21"/>
              </w:rPr>
              <w:t>Portugal joins the European Community, 1 January</w:t>
            </w:r>
          </w:p>
        </w:tc>
      </w:tr>
      <w:tr>
        <w:tc>
          <w:tcPr>
            <w:tcW w:type="dxa" w:w="3249"/>
          </w:tcPr>
          <w:p>
            <w:r>
              <w:rPr>
                <w:rFonts w:ascii="Times New Roman" w:hAnsi="Times New Roman"/>
                <w:color w:val="000000"/>
                <w:sz w:val="21"/>
              </w:rPr>
              <w:t>1987</w:t>
            </w:r>
          </w:p>
        </w:tc>
        <w:tc>
          <w:tcPr>
            <w:tcW w:type="dxa" w:w="3249"/>
          </w:tcPr>
          <w:p>
            <w:r>
              <w:rPr>
                <w:rFonts w:ascii="Times New Roman" w:hAnsi="Times New Roman"/>
                <w:color w:val="000000"/>
                <w:sz w:val="21"/>
              </w:rPr>
              <w:t>7.0</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1988</w:t>
            </w:r>
          </w:p>
        </w:tc>
        <w:tc>
          <w:tcPr>
            <w:tcW w:type="dxa" w:w="3249"/>
          </w:tcPr>
          <w:p>
            <w:r>
              <w:rPr>
                <w:rFonts w:ascii="Times New Roman" w:hAnsi="Times New Roman"/>
                <w:color w:val="000000"/>
                <w:sz w:val="21"/>
              </w:rPr>
              <w:t>6.3</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1989</w:t>
            </w:r>
          </w:p>
        </w:tc>
        <w:tc>
          <w:tcPr>
            <w:tcW w:type="dxa" w:w="3249"/>
          </w:tcPr>
          <w:p>
            <w:r>
              <w:rPr>
                <w:rFonts w:ascii="Times New Roman" w:hAnsi="Times New Roman"/>
                <w:color w:val="000000"/>
                <w:sz w:val="21"/>
              </w:rPr>
              <w:t>6.1</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1990</w:t>
            </w:r>
          </w:p>
        </w:tc>
        <w:tc>
          <w:tcPr>
            <w:tcW w:type="dxa" w:w="3249"/>
          </w:tcPr>
          <w:p>
            <w:r>
              <w:rPr>
                <w:rFonts w:ascii="Times New Roman" w:hAnsi="Times New Roman"/>
                <w:color w:val="000000"/>
                <w:sz w:val="21"/>
              </w:rPr>
              <w:t>5.7</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1991</w:t>
            </w:r>
          </w:p>
        </w:tc>
        <w:tc>
          <w:tcPr>
            <w:tcW w:type="dxa" w:w="3249"/>
          </w:tcPr>
          <w:p>
            <w:r>
              <w:rPr>
                <w:rFonts w:ascii="Times New Roman" w:hAnsi="Times New Roman"/>
                <w:color w:val="000000"/>
                <w:sz w:val="21"/>
              </w:rPr>
              <w:t>5.3</w:t>
            </w:r>
          </w:p>
        </w:tc>
        <w:tc>
          <w:tcPr>
            <w:tcW w:type="dxa" w:w="3249"/>
          </w:tcPr>
          <w:p>
            <w:r>
              <w:rPr>
                <w:rFonts w:ascii="Times New Roman" w:hAnsi="Times New Roman"/>
                <w:color w:val="000000"/>
                <w:sz w:val="21"/>
              </w:rPr>
              <w:t>Portugal leaves the OECD list of aid recipients</w:t>
            </w:r>
          </w:p>
        </w:tc>
      </w:tr>
      <w:tr>
        <w:tc>
          <w:tcPr>
            <w:tcW w:type="dxa" w:w="3249"/>
          </w:tcPr>
          <w:p>
            <w:r>
              <w:rPr>
                <w:rFonts w:ascii="Times New Roman" w:hAnsi="Times New Roman"/>
                <w:color w:val="000000"/>
                <w:sz w:val="21"/>
              </w:rPr>
              <w:t>1992</w:t>
            </w:r>
          </w:p>
        </w:tc>
        <w:tc>
          <w:tcPr>
            <w:tcW w:type="dxa" w:w="3249"/>
          </w:tcPr>
          <w:p>
            <w:r>
              <w:rPr>
                <w:rFonts w:ascii="Times New Roman" w:hAnsi="Times New Roman"/>
                <w:color w:val="000000"/>
                <w:sz w:val="21"/>
              </w:rPr>
              <w:t>4.4</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1993</w:t>
            </w:r>
          </w:p>
        </w:tc>
        <w:tc>
          <w:tcPr>
            <w:tcW w:type="dxa" w:w="3249"/>
          </w:tcPr>
          <w:p>
            <w:r>
              <w:rPr>
                <w:rFonts w:ascii="Times New Roman" w:hAnsi="Times New Roman"/>
                <w:color w:val="000000"/>
                <w:sz w:val="21"/>
              </w:rPr>
              <w:t>4.5</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1994</w:t>
            </w:r>
          </w:p>
        </w:tc>
        <w:tc>
          <w:tcPr>
            <w:tcW w:type="dxa" w:w="3249"/>
          </w:tcPr>
          <w:p>
            <w:r>
              <w:rPr>
                <w:rFonts w:ascii="Times New Roman" w:hAnsi="Times New Roman"/>
                <w:color w:val="000000"/>
                <w:sz w:val="21"/>
              </w:rPr>
              <w:t>3.8</w:t>
            </w:r>
          </w:p>
        </w:tc>
        <w:tc>
          <w:tcPr>
            <w:tcW w:type="dxa" w:w="3249"/>
          </w:tcPr>
          <w:p>
            <w:r>
              <w:rPr>
                <w:rFonts w:ascii="Times New Roman" w:hAnsi="Times New Roman"/>
                <w:color w:val="000000"/>
                <w:sz w:val="21"/>
              </w:rPr>
            </w:r>
          </w:p>
        </w:tc>
      </w:tr>
      <w:tr>
        <w:tc>
          <w:tcPr>
            <w:tcW w:type="dxa" w:w="3249"/>
          </w:tcPr>
          <w:p>
            <w:r>
              <w:rPr>
                <w:rFonts w:ascii="Times New Roman" w:hAnsi="Times New Roman"/>
                <w:color w:val="000000"/>
                <w:sz w:val="21"/>
              </w:rPr>
              <w:t>1995</w:t>
            </w:r>
          </w:p>
        </w:tc>
        <w:tc>
          <w:tcPr>
            <w:tcW w:type="dxa" w:w="3249"/>
          </w:tcPr>
          <w:p>
            <w:r>
              <w:rPr>
                <w:rFonts w:ascii="Times New Roman" w:hAnsi="Times New Roman"/>
                <w:color w:val="000000"/>
                <w:sz w:val="21"/>
              </w:rPr>
              <w:t>3.3</w:t>
            </w:r>
          </w:p>
        </w:tc>
        <w:tc>
          <w:tcPr>
            <w:tcW w:type="dxa" w:w="3249"/>
          </w:tcPr>
          <w:p>
            <w:r>
              <w:rPr>
                <w:rFonts w:ascii="Times New Roman" w:hAnsi="Times New Roman"/>
                <w:color w:val="000000"/>
                <w:sz w:val="21"/>
              </w:rPr>
            </w:r>
          </w:p>
        </w:tc>
      </w:tr>
    </w:tbl>
    <w:p>
      <w:pPr>
        <w:spacing w:after="80" w:line="264" w:lineRule="auto"/>
      </w:pPr>
      <w:r>
        <w:rPr>
          <w:rFonts w:ascii="Times New Roman" w:hAnsi="Times New Roman"/>
          <w:b w:val="0"/>
          <w:i w:val="0"/>
          <w:color w:val="000000"/>
        </w:rPr>
      </w:r>
    </w:p>
    <w:p>
      <w:pPr>
        <w:spacing w:after="120" w:line="264" w:lineRule="auto"/>
      </w:pPr>
      <w:r>
        <w:rPr>
          <w:rFonts w:ascii="Times New Roman" w:hAnsi="Times New Roman"/>
          <w:b w:val="0"/>
          <w:i w:val="0"/>
          <w:color w:val="000000"/>
        </w:rPr>
        <w:t>The rule behind the number. A person abroad for a year or more counts as living in the other country, so what they send home is a transfer. A person abroad for less than a year still counts as living at home, so their whole pay is counted whether or not they send it. Banks and transfer companies report what they paid out; no household is asked what it received. Cash carried home on a visit, parcels of goods and bills paid directly from abroad never pass through a bank and are in no figure, so the table gives the smallest amount Portugal could have received.</w:t>
      </w:r>
    </w:p>
    <w:p>
      <w:pPr>
        <w:spacing w:after="120" w:line="264" w:lineRule="auto"/>
      </w:pPr>
      <w:r>
        <w:rPr>
          <w:rFonts w:ascii="Times New Roman" w:hAnsi="Times New Roman"/>
          <w:b w:val="0"/>
          <w:i w:val="0"/>
          <w:color w:val="000000"/>
        </w:rPr>
        <w:t>For comparison. The average for small island developing states today is 8.6 per cent of GDP (UNDP and UN DESA, 2023). Tonga received 39.2 per cent in 2024.</w:t>
      </w:r>
    </w:p>
    <w:p>
      <w:pPr>
        <w:spacing w:after="80" w:line="264" w:lineRule="auto" w:before="200"/>
      </w:pPr>
      <w:r>
        <w:rPr>
          <w:rFonts w:ascii="Times New Roman" w:hAnsi="Times New Roman"/>
          <w:b/>
          <w:i w:val="0"/>
          <w:color w:val="000000"/>
          <w:sz w:val="26"/>
        </w:rPr>
        <w:t>The task, twenty minutes</w:t>
      </w:r>
    </w:p>
    <w:p>
      <w:pPr>
        <w:spacing w:after="120" w:line="264" w:lineRule="auto"/>
      </w:pPr>
      <w:r>
        <w:rPr>
          <w:rFonts w:ascii="Times New Roman" w:hAnsi="Times New Roman"/>
          <w:b w:val="0"/>
          <w:i w:val="0"/>
          <w:color w:val="000000"/>
        </w:rPr>
        <w:t>Read the page together. Write down what the figure counts, who made the record, and what it leaves out. Then write the two questions you would put to a class of sixteen year olds about this page, and the answer you would hope for. Every question must be answerable from the page, or must name what the students would need to find out and where. One person reports for the group in two minutes.</w:t>
      </w:r>
    </w:p>
    <w:p>
      <w:r>
        <w:br w:type="page"/>
      </w:r>
    </w:p>
    <w:p>
      <w:pPr>
        <w:spacing w:after="40" w:line="264" w:lineRule="auto"/>
      </w:pPr>
      <w:r>
        <w:rPr>
          <w:rFonts w:ascii="Times New Roman" w:hAnsi="Times New Roman"/>
          <w:b/>
          <w:i w:val="0"/>
          <w:color w:val="000000"/>
          <w:sz w:val="26"/>
        </w:rPr>
        <w:t>Source pack C</w:t>
      </w:r>
    </w:p>
    <w:p>
      <w:pPr>
        <w:spacing w:after="160" w:line="264" w:lineRule="auto"/>
      </w:pPr>
      <w:r>
        <w:rPr>
          <w:rFonts w:ascii="Times New Roman" w:hAnsi="Times New Roman"/>
          <w:b/>
          <w:i w:val="0"/>
          <w:color w:val="000000"/>
          <w:sz w:val="30"/>
        </w:rPr>
        <w:t>Tonga: who received remittances, from the 2021 Household Income and Expenditure Survey</w:t>
      </w:r>
    </w:p>
    <w:p>
      <w:pPr>
        <w:spacing w:after="120" w:line="264" w:lineRule="auto"/>
      </w:pPr>
      <w:r>
        <w:rPr>
          <w:rFonts w:ascii="Times New Roman" w:hAnsi="Times New Roman"/>
          <w:b w:val="0"/>
          <w:i w:val="0"/>
          <w:color w:val="000000"/>
        </w:rPr>
        <w:t>Source: Tonga Statistics Department (2022), Tonga 2021 HIES Report, pages 21 and 22 and Figure 37. The survey visited a sample of households across the whole kingdom between January and November 2021 and asked the same questions in every house. What follows is what the report states, in its own figures.</w:t>
      </w:r>
    </w:p>
    <w:p>
      <w:pPr>
        <w:spacing w:after="100" w:line="264" w:lineRule="auto"/>
      </w:pPr>
      <w:r>
        <w:rPr>
          <w:rFonts w:ascii="Times New Roman" w:hAnsi="Times New Roman"/>
          <w:b/>
          <w:color w:val="000000"/>
        </w:rPr>
        <w:t xml:space="preserve">Households receiving. </w:t>
      </w:r>
      <w:r>
        <w:rPr>
          <w:rFonts w:ascii="Times New Roman" w:hAnsi="Times New Roman"/>
          <w:color w:val="000000"/>
        </w:rPr>
        <w:t>90 in every 100 private households received cash remittances in the twelve months before the survey. The highest shares were in Vava'u (94) and rural Tongatapu (91); the lowest was in the Niuas (64).</w:t>
      </w:r>
    </w:p>
    <w:p>
      <w:pPr>
        <w:spacing w:after="100" w:line="264" w:lineRule="auto"/>
      </w:pPr>
      <w:r>
        <w:rPr>
          <w:rFonts w:ascii="Times New Roman" w:hAnsi="Times New Roman"/>
          <w:b/>
          <w:color w:val="000000"/>
        </w:rPr>
        <w:t xml:space="preserve">By who heads the household. </w:t>
      </w:r>
      <w:r>
        <w:rPr>
          <w:rFonts w:ascii="Times New Roman" w:hAnsi="Times New Roman"/>
          <w:color w:val="000000"/>
        </w:rPr>
        <w:t>96 in every 100 households headed by a woman received remittances, against 88 in 100 of those headed by a man.</w:t>
      </w:r>
    </w:p>
    <w:p>
      <w:pPr>
        <w:spacing w:after="100" w:line="264" w:lineRule="auto"/>
      </w:pPr>
      <w:r>
        <w:rPr>
          <w:rFonts w:ascii="Times New Roman" w:hAnsi="Times New Roman"/>
          <w:b/>
          <w:color w:val="000000"/>
        </w:rPr>
        <w:t xml:space="preserve">By disability. </w:t>
      </w:r>
      <w:r>
        <w:rPr>
          <w:rFonts w:ascii="Times New Roman" w:hAnsi="Times New Roman"/>
          <w:color w:val="000000"/>
        </w:rPr>
        <w:t>95 in 100 households with at least one person with a disability received remittances, against 90 in 100 without.</w:t>
      </w:r>
    </w:p>
    <w:p>
      <w:pPr>
        <w:spacing w:after="100" w:line="264" w:lineRule="auto"/>
      </w:pPr>
      <w:r>
        <w:rPr>
          <w:rFonts w:ascii="Times New Roman" w:hAnsi="Times New Roman"/>
          <w:b/>
          <w:color w:val="000000"/>
        </w:rPr>
        <w:t xml:space="preserve">Where the money came from. </w:t>
      </w:r>
      <w:r>
        <w:rPr>
          <w:rFonts w:ascii="Times New Roman" w:hAnsi="Times New Roman"/>
          <w:color w:val="000000"/>
        </w:rPr>
        <w:t>New Zealand 32 per cent and Australia 31 per cent of the money received nationally, with the United States and domestic transfers making up most of the rest. Households in the Niuas and those headed by people aged 15 to 24 depended more on transfers from within Tonga.</w:t>
      </w:r>
    </w:p>
    <w:p>
      <w:pPr>
        <w:spacing w:after="100" w:line="264" w:lineRule="auto"/>
      </w:pPr>
      <w:r>
        <w:rPr>
          <w:rFonts w:ascii="Times New Roman" w:hAnsi="Times New Roman"/>
          <w:b/>
          <w:color w:val="000000"/>
        </w:rPr>
        <w:t xml:space="preserve">Who sent it. </w:t>
      </w:r>
      <w:r>
        <w:rPr>
          <w:rFonts w:ascii="Times New Roman" w:hAnsi="Times New Roman"/>
          <w:color w:val="000000"/>
        </w:rPr>
        <w:t>30 per cent of all senders were children sending money to their parents, most visibly for household heads aged 60 and over and for households headed by women.</w:t>
      </w:r>
    </w:p>
    <w:p>
      <w:pPr>
        <w:spacing w:after="100" w:line="264" w:lineRule="auto"/>
      </w:pPr>
      <w:r>
        <w:rPr>
          <w:rFonts w:ascii="Times New Roman" w:hAnsi="Times New Roman"/>
          <w:b/>
          <w:color w:val="000000"/>
        </w:rPr>
        <w:t xml:space="preserve">How much, in the household budget. </w:t>
      </w:r>
      <w:r>
        <w:rPr>
          <w:rFonts w:ascii="Times New Roman" w:hAnsi="Times New Roman"/>
          <w:color w:val="000000"/>
        </w:rPr>
        <w:t>Gifts and remittances made up 19,169 pa'anga of an average annual household income of 61,736 pa'anga, about three pa'anga in every ten (Table 2, page xvi).</w:t>
      </w:r>
    </w:p>
    <w:p>
      <w:pPr>
        <w:spacing w:after="120" w:line="264" w:lineRule="auto"/>
      </w:pPr>
      <w:r>
        <w:rPr>
          <w:rFonts w:ascii="Times New Roman" w:hAnsi="Times New Roman"/>
          <w:b w:val="0"/>
          <w:i w:val="0"/>
          <w:color w:val="000000"/>
        </w:rPr>
        <w:t>The rule behind the number. The survey counts households, not dollars, and it asked about cash remittances received in the last twelve months. Goods sent in a parcel and bills paid directly from abroad were not part of this question. An earlier survey of 500 households in 2004 that asked many specific questions about cash, goods and bills found 90 in 100 receiving as well, and found that a third of households with nobody abroad still received money through family networks (Brown and Leeves, 2011).</w:t>
      </w:r>
    </w:p>
    <w:p>
      <w:pPr>
        <w:spacing w:after="120" w:line="264" w:lineRule="auto"/>
      </w:pPr>
      <w:r>
        <w:rPr>
          <w:rFonts w:ascii="Times New Roman" w:hAnsi="Times New Roman"/>
          <w:b w:val="0"/>
          <w:i w:val="0"/>
          <w:color w:val="000000"/>
        </w:rPr>
        <w:t>For comparison. Remittances were 39.2 per cent of Tonga's GDP in 2024 on the World Bank series, the highest share in the world in 2023. About 51 per cent of the 2023 to 2024 national budget was funded by foreign aid (New Zealand Ministry of Foreign Affairs and Trade, Tonga Country Plan 2024 to 2027).</w:t>
      </w:r>
    </w:p>
    <w:p>
      <w:pPr>
        <w:spacing w:after="80" w:line="264" w:lineRule="auto" w:before="200"/>
      </w:pPr>
      <w:r>
        <w:rPr>
          <w:rFonts w:ascii="Times New Roman" w:hAnsi="Times New Roman"/>
          <w:b/>
          <w:i w:val="0"/>
          <w:color w:val="000000"/>
          <w:sz w:val="26"/>
        </w:rPr>
        <w:t>The task, twenty minutes</w:t>
      </w:r>
    </w:p>
    <w:p>
      <w:pPr>
        <w:spacing w:after="120" w:line="264" w:lineRule="auto"/>
      </w:pPr>
      <w:r>
        <w:rPr>
          <w:rFonts w:ascii="Times New Roman" w:hAnsi="Times New Roman"/>
          <w:b w:val="0"/>
          <w:i w:val="0"/>
          <w:color w:val="000000"/>
        </w:rPr>
        <w:t>Read the page together. Write down what the figure counts, who made the record, and what it leaves out. Then write the two questions you would put to a class of sixteen year olds about this page, and the answer you would hope for. Every question must be answerable from the page, or must name what the students would need to find out and where. One person reports for the group in two minutes.</w:t>
      </w:r>
    </w:p>
    <w:p>
      <w:r>
        <w:br w:type="page"/>
      </w:r>
    </w:p>
    <w:p>
      <w:pPr>
        <w:spacing w:after="40" w:line="264" w:lineRule="auto"/>
      </w:pPr>
      <w:r>
        <w:rPr>
          <w:rFonts w:ascii="Times New Roman" w:hAnsi="Times New Roman"/>
          <w:b/>
          <w:i w:val="0"/>
          <w:color w:val="000000"/>
          <w:sz w:val="26"/>
        </w:rPr>
        <w:t>Source pack D</w:t>
      </w:r>
    </w:p>
    <w:p>
      <w:pPr>
        <w:spacing w:after="160" w:line="264" w:lineRule="auto"/>
      </w:pPr>
      <w:r>
        <w:rPr>
          <w:rFonts w:ascii="Times New Roman" w:hAnsi="Times New Roman"/>
          <w:b/>
          <w:i w:val="0"/>
          <w:color w:val="000000"/>
          <w:sz w:val="30"/>
        </w:rPr>
        <w:t>The OECD casebook on migration: is a seasonal work scheme aid?</w:t>
      </w:r>
    </w:p>
    <w:p>
      <w:pPr>
        <w:spacing w:after="120" w:line="264" w:lineRule="auto"/>
      </w:pPr>
      <w:r>
        <w:rPr>
          <w:rFonts w:ascii="Times New Roman" w:hAnsi="Times New Roman"/>
          <w:b w:val="0"/>
          <w:i w:val="0"/>
          <w:color w:val="000000"/>
        </w:rPr>
        <w:t>Source: OECD Development Assistance Committee (2023), ODA Casebook on activities in the field of migration, document DCD/DAC/STAT(2023)34/FINAL. The casebook is written by the committee of donor governments that decides what counts as official development assistance, and it gives rulings on real cases that donors submitted.</w:t>
      </w:r>
    </w:p>
    <w:p>
      <w:pPr>
        <w:spacing w:after="100" w:line="264" w:lineRule="auto"/>
      </w:pPr>
      <w:r>
        <w:rPr>
          <w:rFonts w:ascii="Times New Roman" w:hAnsi="Times New Roman"/>
          <w:b/>
          <w:color w:val="000000"/>
        </w:rPr>
        <w:t xml:space="preserve">The New Zealand case. </w:t>
      </w:r>
      <w:r>
        <w:rPr>
          <w:rFonts w:ascii="Times New Roman" w:hAnsi="Times New Roman"/>
          <w:color w:val="000000"/>
        </w:rPr>
        <w:t>New Zealand's Recognised Seasonal Employer scheme brings Pacific workers to seasonal jobs in horticulture and viticulture. The casebook rules that the Workers Training Programme attached to the scheme is eligible as aid, because it gives the workers skills they can take home, and that "expenditures required to operationalise the RSE scheme are not eligible, as the programme intends to primarily fill labour market gaps in New Zealand."</w:t>
      </w:r>
    </w:p>
    <w:p>
      <w:pPr>
        <w:spacing w:after="100" w:line="264" w:lineRule="auto"/>
      </w:pPr>
      <w:r>
        <w:rPr>
          <w:rFonts w:ascii="Times New Roman" w:hAnsi="Times New Roman"/>
          <w:b/>
          <w:color w:val="000000"/>
        </w:rPr>
        <w:t xml:space="preserve">The Australian case. </w:t>
      </w:r>
      <w:r>
        <w:rPr>
          <w:rFonts w:ascii="Times New Roman" w:hAnsi="Times New Roman"/>
          <w:color w:val="000000"/>
        </w:rPr>
        <w:t>For Australia's Pacific Australia Labour Mobility scheme, the casebook rules that only the component financed by the aid department is eligible, and adds: "the fact that the migrants may send remittances to their home countries is not, in itself, a sufficient condition for the programme to qualify as ODA."</w:t>
      </w:r>
    </w:p>
    <w:p>
      <w:pPr>
        <w:spacing w:after="100" w:line="264" w:lineRule="auto"/>
      </w:pPr>
      <w:r>
        <w:rPr>
          <w:rFonts w:ascii="Times New Roman" w:hAnsi="Times New Roman"/>
          <w:b/>
          <w:color w:val="000000"/>
        </w:rPr>
        <w:t xml:space="preserve">What the schemes produce. </w:t>
      </w:r>
      <w:r>
        <w:rPr>
          <w:rFonts w:ascii="Times New Roman" w:hAnsi="Times New Roman"/>
          <w:color w:val="000000"/>
        </w:rPr>
        <w:t>New Zealand's scheme is capped at 20,750 workers at a time. On 30 June 2026, 3,715 Tongans held Australian scheme visas, 3,095 of them men (palmscheme.gov.au, June 2026 data publication, Table 2). The National Reserve Bank of Tonga has counted seasonal workers' pay as a separate line of remittances since 2014, and that line was a tenth of all remittances in 2025.</w:t>
      </w:r>
    </w:p>
    <w:p>
      <w:pPr>
        <w:spacing w:after="120" w:line="264" w:lineRule="auto"/>
      </w:pPr>
      <w:r>
        <w:rPr>
          <w:rFonts w:ascii="Times New Roman" w:hAnsi="Times New Roman"/>
          <w:b w:val="0"/>
          <w:i w:val="0"/>
          <w:color w:val="000000"/>
        </w:rPr>
        <w:t>The rule behind the ruling. Aid must have the development and welfare of the receiving country as its main purpose. A scheme whose main purpose is to fill labour shortages in the donor country fails that test, however much money the workers send home, so the money they send is counted as private remittances and the scheme as immigration policy. The same governments write the rule, run the scheme and report the aid figure.</w:t>
      </w:r>
    </w:p>
    <w:p>
      <w:pPr>
        <w:spacing w:after="80" w:line="264" w:lineRule="auto" w:before="200"/>
      </w:pPr>
      <w:r>
        <w:rPr>
          <w:rFonts w:ascii="Times New Roman" w:hAnsi="Times New Roman"/>
          <w:b/>
          <w:i w:val="0"/>
          <w:color w:val="000000"/>
          <w:sz w:val="26"/>
        </w:rPr>
        <w:t>The task, twenty minutes</w:t>
      </w:r>
    </w:p>
    <w:p>
      <w:pPr>
        <w:spacing w:after="120" w:line="264" w:lineRule="auto"/>
      </w:pPr>
      <w:r>
        <w:rPr>
          <w:rFonts w:ascii="Times New Roman" w:hAnsi="Times New Roman"/>
          <w:b w:val="0"/>
          <w:i w:val="0"/>
          <w:color w:val="000000"/>
        </w:rPr>
        <w:t>Read the page together. Write down what the figure counts, who made the record, and what it leaves out. Then write the two questions you would put to a class of sixteen year olds about this page, and the answer you would hope for. Every question must be answerable from the page, or must name what the students would need to find out and where. One person reports for the group in two minutes.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