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b/>
          <w:i w:val="0"/>
          <w:color w:val="000000"/>
          <w:sz w:val="32"/>
        </w:rPr>
        <w:t>Aid, remittances and agency</w:t>
      </w:r>
    </w:p>
    <w:p>
      <w:pPr>
        <w:spacing w:after="40" w:line="264" w:lineRule="auto"/>
        <w:jc w:val="center"/>
      </w:pPr>
      <w:r>
        <w:rPr>
          <w:rFonts w:ascii="Times New Roman" w:hAnsi="Times New Roman"/>
          <w:b w:val="0"/>
          <w:i/>
          <w:color w:val="000000"/>
          <w:sz w:val="24"/>
        </w:rPr>
        <w:t>How small island states navigate economic dependency: Malta's twentieth century, and Jamaica's</w:t>
      </w:r>
    </w:p>
    <w:p>
      <w:pPr>
        <w:spacing w:after="200" w:line="264" w:lineRule="auto"/>
        <w:jc w:val="center"/>
      </w:pPr>
      <w:r>
        <w:rPr>
          <w:rFonts w:ascii="Times New Roman" w:hAnsi="Times New Roman"/>
          <w:b w:val="0"/>
          <w:i w:val="0"/>
          <w:color w:val="000000"/>
          <w:sz w:val="21"/>
        </w:rPr>
        <w:t>Seminar session for European Small States in the 20th Century, University of Hildesheim. Friday 27 November 2026, 12:15 to 13:45 CET, online. Dr Roxane de Waegh, Islands and Small States Institute, University of Malta. Outline of 16 September 2026.</w:t>
      </w:r>
    </w:p>
    <w:p>
      <w:pPr>
        <w:spacing w:after="80" w:line="264" w:lineRule="auto" w:before="200"/>
      </w:pPr>
      <w:r>
        <w:rPr>
          <w:rFonts w:ascii="Times New Roman" w:hAnsi="Times New Roman"/>
          <w:b/>
          <w:i w:val="0"/>
          <w:color w:val="000000"/>
          <w:sz w:val="26"/>
        </w:rPr>
        <w:t>What the session argues</w:t>
      </w:r>
    </w:p>
    <w:p>
      <w:pPr>
        <w:spacing w:after="120" w:line="264" w:lineRule="auto"/>
      </w:pPr>
      <w:r>
        <w:rPr>
          <w:rFonts w:ascii="Times New Roman" w:hAnsi="Times New Roman"/>
          <w:b w:val="0"/>
          <w:i w:val="0"/>
          <w:color w:val="000000"/>
        </w:rPr>
        <w:t>Malta lived the twentieth century on money it did not make at home: the wages of a British naval dockyard, the passages the colonial government paid so that its people would leave, the money those emigrants sent back, and the rent that Britain and NATO paid for the harbour after 1972. The session tells that century in five moves, each with a date, a number and a decision: the fortress economy and the 1957 defence cuts that threatened it; emigration as policy, with more than 140,000 people gone on assisted passages after 1946; the 1956 referendum in which three voters in four chose to join Britain and Britain declined, so that independence in 1964 came on London's terms; the 1972 agreement in which Dom Mintoff set the price of the harbour, the only time in the century that Malta did; and the closure of the base in 1979. Three factors run through the moves: a home market too small to employ its own people, one dominant external partner, and a strategic position that could be priced. Jamaica, which left the same empire in 1962, shared the first two and lacked the third, and its century ran the other way: emigration to Britain until the door closed in the year of independence, remittances rising from 3 per cent of GDP in 1976 to 23 per cent in 2021, and in 2015 a British offer of a prison, built with aid money, in place of the reparations the Caribbean had asked for. The session closes on the sources: the archive kept the state's negotiations to the pound and the household's decisions not at all, which is why my project asks Jamaican households directly in 2027, and why a history of small states written only from the files is a history of what the large state decided.</w:t>
      </w:r>
    </w:p>
    <w:p>
      <w:pPr>
        <w:spacing w:after="80" w:line="264" w:lineRule="auto" w:before="200"/>
      </w:pPr>
      <w:r>
        <w:rPr>
          <w:rFonts w:ascii="Times New Roman" w:hAnsi="Times New Roman"/>
          <w:b/>
          <w:i w:val="0"/>
          <w:color w:val="000000"/>
          <w:sz w:val="26"/>
        </w:rPr>
        <w:t>How the ninety minutes run</w:t>
      </w:r>
    </w:p>
    <w:p>
      <w:pPr>
        <w:spacing w:after="100" w:line="264" w:lineRule="auto"/>
      </w:pPr>
      <w:r>
        <w:rPr>
          <w:rFonts w:ascii="Times New Roman" w:hAnsi="Times New Roman"/>
          <w:b/>
          <w:color w:val="000000"/>
        </w:rPr>
        <w:t xml:space="preserve">12:15, five minutes. </w:t>
      </w:r>
      <w:r>
        <w:rPr>
          <w:rFonts w:ascii="Times New Roman" w:hAnsi="Times New Roman"/>
          <w:color w:val="000000"/>
        </w:rPr>
        <w:t>Opening. Two questions: what dependency meant in one dockyard of 12,000 workers, and who decided what a small island's money would be.</w:t>
      </w:r>
    </w:p>
    <w:p>
      <w:pPr>
        <w:spacing w:after="100" w:line="264" w:lineRule="auto"/>
      </w:pPr>
      <w:r>
        <w:rPr>
          <w:rFonts w:ascii="Times New Roman" w:hAnsi="Times New Roman"/>
          <w:b/>
          <w:color w:val="000000"/>
        </w:rPr>
        <w:t xml:space="preserve">12:20, twenty five minutes. </w:t>
      </w:r>
      <w:r>
        <w:rPr>
          <w:rFonts w:ascii="Times New Roman" w:hAnsi="Times New Roman"/>
          <w:color w:val="000000"/>
        </w:rPr>
        <w:t>Malta's century in five moves, one stop each, with the World Bank aid series opened live for 1970 to 1985 and the primary sources quoted on screen (Smith 2007, Fenech 1997, King 1979, the Kissinger memorandum of 11 March 1972).</w:t>
      </w:r>
    </w:p>
    <w:p>
      <w:pPr>
        <w:spacing w:after="100" w:line="264" w:lineRule="auto"/>
      </w:pPr>
      <w:r>
        <w:rPr>
          <w:rFonts w:ascii="Times New Roman" w:hAnsi="Times New Roman"/>
          <w:b/>
          <w:color w:val="000000"/>
        </w:rPr>
        <w:t xml:space="preserve">12:45, fifteen minutes. </w:t>
      </w:r>
      <w:r>
        <w:rPr>
          <w:rFonts w:ascii="Times New Roman" w:hAnsi="Times New Roman"/>
          <w:color w:val="000000"/>
        </w:rPr>
        <w:t>Jamaica beside Malta: 1948 to 1962, the rise of remittances, the 2015 visit and the Windrush scandal; then what FAR-SIDS asks Jamaican households in 2027 and why that answers a question the Maltese archive cannot.</w:t>
      </w:r>
    </w:p>
    <w:p>
      <w:pPr>
        <w:spacing w:after="100" w:line="264" w:lineRule="auto"/>
      </w:pPr>
      <w:r>
        <w:rPr>
          <w:rFonts w:ascii="Times New Roman" w:hAnsi="Times New Roman"/>
          <w:b/>
          <w:color w:val="000000"/>
        </w:rPr>
        <w:t xml:space="preserve">13:00, thirty six minutes. </w:t>
      </w:r>
      <w:r>
        <w:rPr>
          <w:rFonts w:ascii="Times New Roman" w:hAnsi="Times New Roman"/>
          <w:color w:val="000000"/>
        </w:rPr>
        <w:t>The students teach. Four rooms of about four, twelve minutes to build a five minute lesson on one decision (Malta 1956, Malta 1972, Jamaica 1962, Jamaica 2015) from a one page source pack; then each room teaches its lesson to the rest of the group for four minutes, the group being the class and voting when asked; then six minutes on what the four lessons had in common.</w:t>
      </w:r>
    </w:p>
    <w:p>
      <w:pPr>
        <w:spacing w:after="100" w:line="264" w:lineRule="auto"/>
      </w:pPr>
      <w:r>
        <w:rPr>
          <w:rFonts w:ascii="Times New Roman" w:hAnsi="Times New Roman"/>
          <w:b/>
          <w:color w:val="000000"/>
        </w:rPr>
        <w:t xml:space="preserve">13:36, four minutes. </w:t>
      </w:r>
      <w:r>
        <w:rPr>
          <w:rFonts w:ascii="Times New Roman" w:hAnsi="Times New Roman"/>
          <w:color w:val="000000"/>
        </w:rPr>
        <w:t>Close. One sentence, three readings, contact details.</w:t>
      </w:r>
    </w:p>
    <w:p>
      <w:pPr>
        <w:spacing w:after="80" w:line="264" w:lineRule="auto" w:before="200"/>
      </w:pPr>
      <w:r>
        <w:rPr>
          <w:rFonts w:ascii="Times New Roman" w:hAnsi="Times New Roman"/>
          <w:b/>
          <w:i w:val="0"/>
          <w:color w:val="000000"/>
          <w:sz w:val="26"/>
        </w:rPr>
        <w:t>The lesson each room builds</w:t>
      </w:r>
    </w:p>
    <w:p>
      <w:pPr>
        <w:spacing w:after="120" w:line="264" w:lineRule="auto"/>
      </w:pPr>
      <w:r>
        <w:rPr>
          <w:rFonts w:ascii="Times New Roman" w:hAnsi="Times New Roman"/>
          <w:b w:val="0"/>
          <w:i w:val="0"/>
          <w:color w:val="000000"/>
        </w:rPr>
        <w:t>One source on the screen, in the words of the pack. One question the class must answer before it knows the outcome. A vote or a choice, made in role (Maltese voters in 1956, Mintoff in 1972, a Kingston family in 1962, the Jamaican cabinet in 2015). Then the reveal, and one sentence on what the decision tells us about being small. Every fact comes from the pack, which gives its sources with page numbers, so that when the class asks where a number comes from the teacher can say.</w:t>
      </w:r>
    </w:p>
    <w:p>
      <w:pPr>
        <w:spacing w:after="80" w:line="264" w:lineRule="auto" w:before="200"/>
      </w:pPr>
      <w:r>
        <w:rPr>
          <w:rFonts w:ascii="Times New Roman" w:hAnsi="Times New Roman"/>
          <w:b/>
          <w:i w:val="0"/>
          <w:color w:val="000000"/>
          <w:sz w:val="26"/>
        </w:rPr>
        <w:t>Two alternative designs, if you prefer</w:t>
      </w:r>
    </w:p>
    <w:p>
      <w:pPr>
        <w:spacing w:after="100" w:line="264" w:lineRule="auto"/>
      </w:pPr>
      <w:r>
        <w:rPr>
          <w:rFonts w:ascii="Times New Roman" w:hAnsi="Times New Roman"/>
          <w:b/>
          <w:color w:val="000000"/>
        </w:rPr>
        <w:t xml:space="preserve">B, two archives. </w:t>
      </w:r>
      <w:r>
        <w:rPr>
          <w:rFonts w:ascii="Times New Roman" w:hAnsi="Times New Roman"/>
          <w:color w:val="000000"/>
        </w:rPr>
        <w:t>Each room receives a state document and a household document for the same moment and teaches the class who is speaking in each, who is missing, and which one a textbook would quote. Closer to a source seminar; better for a group that has already worked on source criticism.</w:t>
      </w:r>
    </w:p>
    <w:p>
      <w:pPr>
        <w:spacing w:after="100" w:line="264" w:lineRule="auto"/>
      </w:pPr>
      <w:r>
        <w:rPr>
          <w:rFonts w:ascii="Times New Roman" w:hAnsi="Times New Roman"/>
          <w:b/>
          <w:color w:val="000000"/>
        </w:rPr>
        <w:t xml:space="preserve">C, the letter home. </w:t>
      </w:r>
      <w:r>
        <w:rPr>
          <w:rFonts w:ascii="Times New Roman" w:hAnsi="Times New Roman"/>
          <w:color w:val="000000"/>
        </w:rPr>
        <w:t>Each room writes the letter that came with the money (Melbourne to Malta in 1972, Birmingham to Kingston in 1962, and so on) using only facts from the pack, then the class says which sentences a historian could verify. The most creative design and the one that makes the point about missing voices most directly; for a confident group.</w:t>
      </w:r>
    </w:p>
    <w:p>
      <w:pPr>
        <w:spacing w:after="80" w:line="264" w:lineRule="auto" w:before="200"/>
      </w:pPr>
      <w:r>
        <w:rPr>
          <w:rFonts w:ascii="Times New Roman" w:hAnsi="Times New Roman"/>
          <w:b/>
          <w:i w:val="0"/>
          <w:color w:val="000000"/>
          <w:sz w:val="26"/>
        </w:rPr>
        <w:t>What I would ask of you</w:t>
      </w:r>
    </w:p>
    <w:p>
      <w:pPr>
        <w:spacing w:after="120" w:line="264" w:lineRule="auto"/>
      </w:pPr>
      <w:r>
        <w:rPr>
          <w:rFonts w:ascii="Times New Roman" w:hAnsi="Times New Roman"/>
          <w:b w:val="0"/>
          <w:i w:val="0"/>
          <w:color w:val="000000"/>
        </w:rPr>
        <w:t>Four breakout rooms at 13:00, the four one page packs sent to the students in the week before, and a shared screen or document. No prior knowledge of Malta, Jamaica or development economics is assumed; every term is explained in the session. I would be glad to know before the session whether the group has done source criticism in your opening weeks, because that decides between design A and design B.</w:t>
      </w:r>
    </w:p>
    <w:p>
      <w:pPr>
        <w:spacing w:after="80" w:line="264" w:lineRule="auto" w:before="200"/>
      </w:pPr>
      <w:r>
        <w:rPr>
          <w:rFonts w:ascii="Times New Roman" w:hAnsi="Times New Roman"/>
          <w:b/>
          <w:i w:val="0"/>
          <w:color w:val="000000"/>
          <w:sz w:val="26"/>
        </w:rPr>
        <w:t>Readings, for students who want them</w:t>
      </w:r>
    </w:p>
    <w:p>
      <w:pPr>
        <w:spacing w:after="60" w:line="264" w:lineRule="auto"/>
      </w:pPr>
      <w:r>
        <w:rPr>
          <w:rFonts w:ascii="Times New Roman" w:hAnsi="Times New Roman"/>
          <w:b w:val="0"/>
          <w:i w:val="0"/>
          <w:color w:val="000000"/>
        </w:rPr>
        <w:t xml:space="preserve">Smith, S. C. (2007) Integration and disintegration: the attempted incorporation of Malta into the United Kingdom in the 1950s. Journal of Imperial and Commonwealth History, 35(1), 49 to 71. Open access from the University of Malta library. </w:t>
      </w:r>
      <w:hyperlink r:id="rId9">
        <w:r>
          <w:rPr>
            <w:u w:val="single"/>
            <w:rFonts w:ascii="Times New Roman" w:hAnsi="Times New Roman"/>
          </w:rPr>
          <w:t xml:space="preserve">https://doi.org/10.1080/03086530601143396</w:t>
        </w:r>
      </w:hyperlink>
    </w:p>
    <w:p>
      <w:pPr>
        <w:spacing w:after="60" w:line="264" w:lineRule="auto"/>
      </w:pPr>
      <w:r>
        <w:rPr>
          <w:rFonts w:ascii="Times New Roman" w:hAnsi="Times New Roman"/>
          <w:b w:val="0"/>
          <w:i w:val="0"/>
          <w:color w:val="000000"/>
        </w:rPr>
        <w:t xml:space="preserve">Fenech, D. (1997) Malta's external security. GeoJournal, 41(2), 153 to 163. </w:t>
      </w:r>
      <w:hyperlink r:id="rId10">
        <w:r>
          <w:rPr>
            <w:u w:val="single"/>
            <w:rFonts w:ascii="Times New Roman" w:hAnsi="Times New Roman"/>
          </w:rPr>
          <w:t xml:space="preserve">https://doi.org/10.1023/A:1006888926016</w:t>
        </w:r>
      </w:hyperlink>
    </w:p>
    <w:p>
      <w:pPr>
        <w:spacing w:after="60" w:line="264" w:lineRule="auto"/>
      </w:pPr>
      <w:r>
        <w:rPr>
          <w:rFonts w:ascii="Times New Roman" w:hAnsi="Times New Roman"/>
          <w:b w:val="0"/>
          <w:i w:val="0"/>
          <w:color w:val="000000"/>
        </w:rPr>
        <w:t xml:space="preserve">King, R. (1979) The Maltese migration cycle: an archival survey. Area, 11(3), 245 to 249. </w:t>
      </w:r>
      <w:hyperlink r:id="rId11">
        <w:r>
          <w:rPr>
            <w:u w:val="single"/>
            <w:rFonts w:ascii="Times New Roman" w:hAnsi="Times New Roman"/>
          </w:rPr>
          <w:t xml:space="preserve">https://www.jstor.org/stable/20001477</w:t>
        </w:r>
      </w:hyperlink>
    </w:p>
    <w:p>
      <w:pPr>
        <w:spacing w:after="60" w:line="264" w:lineRule="auto"/>
      </w:pPr>
      <w:r>
        <w:rPr>
          <w:rFonts w:ascii="Times New Roman" w:hAnsi="Times New Roman"/>
          <w:b w:val="0"/>
          <w:i w:val="0"/>
          <w:color w:val="000000"/>
        </w:rPr>
        <w:t xml:space="preserve">Hansen, R. (2000) Citizenship and Immigration in Post-war Britain. Oxford: Oxford University Press. </w:t>
      </w:r>
      <w:hyperlink r:id="rId12">
        <w:r>
          <w:rPr>
            <w:u w:val="single"/>
            <w:rFonts w:ascii="Times New Roman" w:hAnsi="Times New Roman"/>
          </w:rPr>
          <w:t xml:space="preserve">https://doi.org/10.1093/oso/9780198297093.001.0001</w:t>
        </w:r>
      </w:hyperlink>
    </w:p>
    <w:p>
      <w:pPr>
        <w:spacing w:after="60" w:line="264" w:lineRule="auto"/>
      </w:pPr>
      <w:r>
        <w:rPr>
          <w:rFonts w:ascii="Times New Roman" w:hAnsi="Times New Roman"/>
          <w:b w:val="0"/>
          <w:i w:val="0"/>
          <w:color w:val="000000"/>
        </w:rPr>
        <w:t xml:space="preserve">Thomas-Hope, E. (1999) Return migration to Jamaica and its development potential. International Migration, 37(1), 183 to 207. </w:t>
      </w:r>
      <w:hyperlink r:id="rId13">
        <w:r>
          <w:rPr>
            <w:u w:val="single"/>
            <w:rFonts w:ascii="Times New Roman" w:hAnsi="Times New Roman"/>
          </w:rPr>
          <w:t xml:space="preserve">https://doi.org/10.1111/1468-2435.00070</w:t>
        </w:r>
      </w:hyperlink>
    </w:p>
    <w:p>
      <w:pPr>
        <w:spacing w:after="60" w:line="264" w:lineRule="auto"/>
      </w:pPr>
      <w:r>
        <w:rPr>
          <w:rFonts w:ascii="Times New Roman" w:hAnsi="Times New Roman"/>
          <w:b w:val="0"/>
          <w:i w:val="0"/>
          <w:color w:val="000000"/>
        </w:rPr>
        <w:t>Beckles, H. McD. (2013) Britain's Black Debt: reparations for Caribbean slavery and native genocide. Kingston: University of the West Indies Press.</w:t>
      </w:r>
    </w:p>
    <w:p>
      <w:pPr>
        <w:spacing w:after="60" w:line="264" w:lineRule="auto"/>
      </w:pPr>
      <w:r>
        <w:rPr>
          <w:rFonts w:ascii="Times New Roman" w:hAnsi="Times New Roman"/>
          <w:b w:val="0"/>
          <w:i w:val="0"/>
          <w:color w:val="000000"/>
        </w:rPr>
        <w:t xml:space="preserve">Baldacchino, G. (2006) Managing the hinterland beyond: two ideal-type strategies of economic development for small island territories. Asia Pacific Viewpoint, 47(1), 45 to 60. </w:t>
      </w:r>
      <w:hyperlink r:id="rId14">
        <w:r>
          <w:rPr>
            <w:u w:val="single"/>
            <w:rFonts w:ascii="Times New Roman" w:hAnsi="Times New Roman"/>
          </w:rPr>
          <w:t xml:space="preserve">https://doi.org/10.1111/j.1467-8373.2006.00295.x</w:t>
        </w:r>
      </w:hyperlink>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80/03086530601143396" TargetMode="External"/><Relationship Id="rId10" Type="http://schemas.openxmlformats.org/officeDocument/2006/relationships/hyperlink" Target="https://doi.org/10.1023/A:1006888926016" TargetMode="External"/><Relationship Id="rId11" Type="http://schemas.openxmlformats.org/officeDocument/2006/relationships/hyperlink" Target="https://www.jstor.org/stable/20001477" TargetMode="External"/><Relationship Id="rId12" Type="http://schemas.openxmlformats.org/officeDocument/2006/relationships/hyperlink" Target="https://doi.org/10.1093/oso/9780198297093.001.0001" TargetMode="External"/><Relationship Id="rId13" Type="http://schemas.openxmlformats.org/officeDocument/2006/relationships/hyperlink" Target="https://doi.org/10.1111/1468-2435.00070" TargetMode="External"/><Relationship Id="rId14" Type="http://schemas.openxmlformats.org/officeDocument/2006/relationships/hyperlink" Target="https://doi.org/10.1111/j.1467-8373.2006.0029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