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pPr>
      <w:r>
        <w:rPr>
          <w:rFonts w:ascii="Times New Roman" w:hAnsi="Times New Roman"/>
          <w:b/>
          <w:i w:val="0"/>
          <w:color w:val="000000"/>
          <w:sz w:val="26"/>
        </w:rPr>
        <w:t>Room 1</w:t>
      </w:r>
    </w:p>
    <w:p>
      <w:pPr>
        <w:spacing w:after="80" w:line="264" w:lineRule="auto"/>
      </w:pPr>
      <w:r>
        <w:rPr>
          <w:rFonts w:ascii="Times New Roman" w:hAnsi="Times New Roman"/>
          <w:b/>
          <w:i w:val="0"/>
          <w:color w:val="000000"/>
          <w:sz w:val="30"/>
        </w:rPr>
        <w:t>Malta, February 1956: join Britain?</w:t>
      </w:r>
    </w:p>
    <w:p>
      <w:pPr>
        <w:spacing w:after="160" w:line="264" w:lineRule="auto"/>
      </w:pPr>
      <w:r>
        <w:rPr>
          <w:rFonts w:ascii="Times New Roman" w:hAnsi="Times New Roman"/>
          <w:b w:val="0"/>
          <w:i/>
          <w:color w:val="000000"/>
          <w:sz w:val="23"/>
        </w:rPr>
        <w:t>The class votes as Maltese voters, then learns what Britain did.</w:t>
      </w:r>
    </w:p>
    <w:p>
      <w:pPr>
        <w:spacing w:after="100" w:line="264" w:lineRule="auto"/>
      </w:pPr>
      <w:r>
        <w:rPr>
          <w:rFonts w:ascii="Times New Roman" w:hAnsi="Times New Roman"/>
          <w:b/>
          <w:color w:val="000000"/>
        </w:rPr>
        <w:t xml:space="preserve">The proposal. </w:t>
      </w:r>
      <w:r>
        <w:rPr>
          <w:rFonts w:ascii="Times New Roman" w:hAnsi="Times New Roman"/>
          <w:color w:val="000000"/>
        </w:rPr>
        <w:t>Malta would become part of the United Kingdom, with three Maltese members in the House of Commons, keeping its own parliament for local matters. The referendum question of 11 and 12 February 1956: did voters approve the proposals set out in the Malta Government Gazette of 10 January 1956.</w:t>
      </w:r>
    </w:p>
    <w:p>
      <w:pPr>
        <w:spacing w:after="100" w:line="264" w:lineRule="auto"/>
      </w:pPr>
      <w:r>
        <w:rPr>
          <w:rFonts w:ascii="Times New Roman" w:hAnsi="Times New Roman"/>
          <w:b/>
          <w:color w:val="000000"/>
        </w:rPr>
        <w:t xml:space="preserve">The price Mintoff set. </w:t>
      </w:r>
      <w:r>
        <w:rPr>
          <w:rFonts w:ascii="Times New Roman" w:hAnsi="Times New Roman"/>
          <w:color w:val="000000"/>
        </w:rPr>
        <w:t>Dom Mintoff, Labour prime minister, would only integrate with "economic equivalence": "comparable health, educational and social services; equivalent wages and salaries of government and imperial employees within the same timeframe" (Smith 2007, page 52). London costed "extending British social services and scales of expenditure to Malta at £10 million per annum" (page 57).</w:t>
      </w:r>
    </w:p>
    <w:p>
      <w:pPr>
        <w:spacing w:after="100" w:line="264" w:lineRule="auto"/>
      </w:pPr>
      <w:r>
        <w:rPr>
          <w:rFonts w:ascii="Times New Roman" w:hAnsi="Times New Roman"/>
          <w:b/>
          <w:color w:val="000000"/>
        </w:rPr>
        <w:t xml:space="preserve">The opposition. </w:t>
      </w:r>
      <w:r>
        <w:rPr>
          <w:rFonts w:ascii="Times New Roman" w:hAnsi="Times New Roman"/>
          <w:color w:val="000000"/>
        </w:rPr>
        <w:t>The Nationalist Party and the Catholic Church urged voters to stay away. The Church feared for its position under British law.</w:t>
      </w:r>
    </w:p>
    <w:p>
      <w:pPr>
        <w:spacing w:after="100" w:line="264" w:lineRule="auto"/>
      </w:pPr>
      <w:r>
        <w:rPr>
          <w:rFonts w:ascii="Times New Roman" w:hAnsi="Times New Roman"/>
          <w:b/>
          <w:color w:val="000000"/>
        </w:rPr>
        <w:t xml:space="preserve">The result. </w:t>
      </w:r>
      <w:r>
        <w:rPr>
          <w:rFonts w:ascii="Times New Roman" w:hAnsi="Times New Roman"/>
          <w:color w:val="000000"/>
        </w:rPr>
        <w:t>Yes 67,607, no 20,177. Three votes in four for integration, but on a turnout of 59 per cent, so that "less than half of the total electorate (44.24 per cent) actually voted in favour" (Smith 2007, page 56).</w:t>
      </w:r>
    </w:p>
    <w:p>
      <w:pPr>
        <w:spacing w:after="100" w:line="264" w:lineRule="auto"/>
      </w:pPr>
      <w:r>
        <w:rPr>
          <w:rFonts w:ascii="Times New Roman" w:hAnsi="Times New Roman"/>
          <w:b/>
          <w:color w:val="000000"/>
        </w:rPr>
        <w:t xml:space="preserve">What Britain did. </w:t>
      </w:r>
      <w:r>
        <w:rPr>
          <w:rFonts w:ascii="Times New Roman" w:hAnsi="Times New Roman"/>
          <w:color w:val="000000"/>
        </w:rPr>
        <w:t>Called the result inconclusive. In 1957 its Defence White Paper cut the forces that employed Malta; an official minuted that if the dockyard, with about 12,000 workers, "is to be closed or substantially run down, Malta faces economic ruin" (page 63). Smith's conclusion: "Mintoff's determination to achieve equivalence as the price of integration clashed with the British government's concern to restrict its economic and financial liabilities" (page 66). Malta became independent on 21 September 1964.</w:t>
      </w:r>
    </w:p>
    <w:p>
      <w:pPr>
        <w:spacing w:after="100" w:line="264" w:lineRule="auto"/>
      </w:pPr>
      <w:r>
        <w:rPr>
          <w:rFonts w:ascii="Times New Roman" w:hAnsi="Times New Roman"/>
          <w:b/>
          <w:color w:val="000000"/>
        </w:rPr>
        <w:t xml:space="preserve">Sources. </w:t>
      </w:r>
      <w:r>
        <w:rPr>
          <w:rFonts w:ascii="Times New Roman" w:hAnsi="Times New Roman"/>
          <w:color w:val="000000"/>
        </w:rPr>
        <w:t>Smith, S. C. (2007) Journal of Imperial and Commonwealth History 35(1), 49 to 71, open access at the University of Malta library. Austin, D. (1971) Malta and the End of Empire, Frank Cass.</w:t>
      </w:r>
    </w:p>
    <w:p>
      <w:pPr>
        <w:spacing w:after="80" w:line="264" w:lineRule="auto" w:before="200"/>
      </w:pPr>
      <w:r>
        <w:rPr>
          <w:rFonts w:ascii="Times New Roman" w:hAnsi="Times New Roman"/>
          <w:b/>
          <w:i w:val="0"/>
          <w:color w:val="000000"/>
          <w:sz w:val="26"/>
        </w:rPr>
        <w:t>Build the lesson, twelve minutes</w:t>
      </w:r>
    </w:p>
    <w:p>
      <w:pPr>
        <w:spacing w:after="120" w:line="264" w:lineRule="auto"/>
      </w:pPr>
      <w:r>
        <w:rPr>
          <w:rFonts w:ascii="Times New Roman" w:hAnsi="Times New Roman"/>
          <w:b w:val="0"/>
          <w:i w:val="0"/>
          <w:color w:val="000000"/>
        </w:rPr>
        <w:t>One source on the screen, in the words of this page. One question the class must answer before it knows the outcome. A vote or a choice, made in role. The reveal. One sentence on what the decision tells us about being small. Every fact comes from this page; the sources are given with page numbers so that you can say where each number comes from. Name your teacher; four minutes to teach.</w:t>
      </w:r>
    </w:p>
    <w:p>
      <w:r>
        <w:br w:type="page"/>
      </w:r>
    </w:p>
    <w:p>
      <w:pPr>
        <w:spacing w:after="40" w:line="264" w:lineRule="auto"/>
      </w:pPr>
      <w:r>
        <w:rPr>
          <w:rFonts w:ascii="Times New Roman" w:hAnsi="Times New Roman"/>
          <w:b/>
          <w:i w:val="0"/>
          <w:color w:val="000000"/>
          <w:sz w:val="26"/>
        </w:rPr>
        <w:t>Room 2</w:t>
      </w:r>
    </w:p>
    <w:p>
      <w:pPr>
        <w:spacing w:after="80" w:line="264" w:lineRule="auto"/>
      </w:pPr>
      <w:r>
        <w:rPr>
          <w:rFonts w:ascii="Times New Roman" w:hAnsi="Times New Roman"/>
          <w:b/>
          <w:i w:val="0"/>
          <w:color w:val="000000"/>
          <w:sz w:val="30"/>
        </w:rPr>
        <w:t>Malta, March 1972: what is a harbour worth?</w:t>
      </w:r>
    </w:p>
    <w:p>
      <w:pPr>
        <w:spacing w:after="160" w:line="264" w:lineRule="auto"/>
      </w:pPr>
      <w:r>
        <w:rPr>
          <w:rFonts w:ascii="Times New Roman" w:hAnsi="Times New Roman"/>
          <w:b w:val="0"/>
          <w:i/>
          <w:color w:val="000000"/>
          <w:sz w:val="23"/>
        </w:rPr>
        <w:t>The class negotiates as Mintoff, then learns the price and what happened in 1979.</w:t>
      </w:r>
    </w:p>
    <w:p>
      <w:pPr>
        <w:spacing w:after="100" w:line="264" w:lineRule="auto"/>
      </w:pPr>
      <w:r>
        <w:rPr>
          <w:rFonts w:ascii="Times New Roman" w:hAnsi="Times New Roman"/>
          <w:b/>
          <w:color w:val="000000"/>
        </w:rPr>
        <w:t xml:space="preserve">The position. </w:t>
      </w:r>
      <w:r>
        <w:rPr>
          <w:rFonts w:ascii="Times New Roman" w:hAnsi="Times New Roman"/>
          <w:color w:val="000000"/>
        </w:rPr>
        <w:t>Britain had used Malta's Grand Harbour since 1800. The 1964 treaty gave it the base for ten years for "modest loans and grants" (Fenech 1997, page 155). Mintoff, re-elected in 1971, told Britain the base had a rent, and that Libya and the Soviet Union might pay it.</w:t>
      </w:r>
    </w:p>
    <w:p>
      <w:pPr>
        <w:spacing w:after="100" w:line="264" w:lineRule="auto"/>
      </w:pPr>
      <w:r>
        <w:rPr>
          <w:rFonts w:ascii="Times New Roman" w:hAnsi="Times New Roman"/>
          <w:b/>
          <w:color w:val="000000"/>
        </w:rPr>
        <w:t xml:space="preserve">The American record, 11 March 1972. </w:t>
      </w:r>
      <w:r>
        <w:rPr>
          <w:rFonts w:ascii="Times New Roman" w:hAnsi="Times New Roman"/>
          <w:color w:val="000000"/>
        </w:rPr>
        <w:t>Kissinger to Nixon: Britain and its NATO allies had offered 14 million pounds a year; Mintoff asked for a further five million pounds as a single payment and for two items each worth about three million pounds, on duty free imports and the dockyard; "the central question in the negotiations remains that of money". The United States would contribute cash but refused Mintoff's demand that American forces be named as excluded from Malta.</w:t>
      </w:r>
    </w:p>
    <w:p>
      <w:pPr>
        <w:spacing w:after="100" w:line="264" w:lineRule="auto"/>
      </w:pPr>
      <w:r>
        <w:rPr>
          <w:rFonts w:ascii="Times New Roman" w:hAnsi="Times New Roman"/>
          <w:b/>
          <w:color w:val="000000"/>
        </w:rPr>
        <w:t xml:space="preserve">The agreement. </w:t>
      </w:r>
      <w:r>
        <w:rPr>
          <w:rFonts w:ascii="Times New Roman" w:hAnsi="Times New Roman"/>
          <w:color w:val="000000"/>
        </w:rPr>
        <w:t>Signed 26 March 1972 for seven years. "The revised agreement restricted the rights and parameters of Britain's use of the Maltese base and more than tripled the rent for its use" (Fenech 1997, page 156). NATO moved its Mediterranean headquarters from Malta to Naples. On the World Bank series, net aid to Malta reached 7.5 per cent of national income in 1973.</w:t>
      </w:r>
    </w:p>
    <w:p>
      <w:pPr>
        <w:spacing w:after="100" w:line="264" w:lineRule="auto"/>
      </w:pPr>
      <w:r>
        <w:rPr>
          <w:rFonts w:ascii="Times New Roman" w:hAnsi="Times New Roman"/>
          <w:b/>
          <w:color w:val="000000"/>
        </w:rPr>
        <w:t xml:space="preserve">How Malta negotiated. </w:t>
      </w:r>
      <w:r>
        <w:rPr>
          <w:rFonts w:ascii="Times New Roman" w:hAnsi="Times New Roman"/>
          <w:color w:val="000000"/>
        </w:rPr>
        <w:t>Smith (2023), on the British files for 1964 to 1971: "the Maltese proved adept at manipulating, cajoling, and even threatening the former imperial power to maintain and even increase its commitments."</w:t>
      </w:r>
    </w:p>
    <w:p>
      <w:pPr>
        <w:spacing w:after="100" w:line="264" w:lineRule="auto"/>
      </w:pPr>
      <w:r>
        <w:rPr>
          <w:rFonts w:ascii="Times New Roman" w:hAnsi="Times New Roman"/>
          <w:b/>
          <w:color w:val="000000"/>
        </w:rPr>
        <w:t xml:space="preserve">What happened next. </w:t>
      </w:r>
      <w:r>
        <w:rPr>
          <w:rFonts w:ascii="Times New Roman" w:hAnsi="Times New Roman"/>
          <w:color w:val="000000"/>
        </w:rPr>
        <w:t>"In 1979 the British base closed down peacefully and all occupied lands were returned to the Maltese Government" (Fenech 1997, page 156). Net aid fell from 5.0 per cent of national income in 1979 to 1.2 per cent in 1980. Malta joined the European Union on 1 May 2004.</w:t>
      </w:r>
    </w:p>
    <w:p>
      <w:pPr>
        <w:spacing w:after="100" w:line="264" w:lineRule="auto"/>
      </w:pPr>
      <w:r>
        <w:rPr>
          <w:rFonts w:ascii="Times New Roman" w:hAnsi="Times New Roman"/>
          <w:b/>
          <w:color w:val="000000"/>
        </w:rPr>
        <w:t xml:space="preserve">Sources. </w:t>
      </w:r>
      <w:r>
        <w:rPr>
          <w:rFonts w:ascii="Times New Roman" w:hAnsi="Times New Roman"/>
          <w:color w:val="000000"/>
        </w:rPr>
        <w:t>Foreign Relations of the United States 1969 to 1976, volume XLI, document 247, history.state.gov. Fenech, D. (1997) GeoJournal 41(2), 153 to 163. Smith, S. C. (2023) Contemporary British History 37(1), 27 to 62. World Bank, DT.ODA.ODAT.GN.ZS.</w:t>
      </w:r>
    </w:p>
    <w:p>
      <w:pPr>
        <w:spacing w:after="80" w:line="264" w:lineRule="auto" w:before="200"/>
      </w:pPr>
      <w:r>
        <w:rPr>
          <w:rFonts w:ascii="Times New Roman" w:hAnsi="Times New Roman"/>
          <w:b/>
          <w:i w:val="0"/>
          <w:color w:val="000000"/>
          <w:sz w:val="26"/>
        </w:rPr>
        <w:t>Build the lesson, twelve minutes</w:t>
      </w:r>
    </w:p>
    <w:p>
      <w:pPr>
        <w:spacing w:after="120" w:line="264" w:lineRule="auto"/>
      </w:pPr>
      <w:r>
        <w:rPr>
          <w:rFonts w:ascii="Times New Roman" w:hAnsi="Times New Roman"/>
          <w:b w:val="0"/>
          <w:i w:val="0"/>
          <w:color w:val="000000"/>
        </w:rPr>
        <w:t>One source on the screen, in the words of this page. One question the class must answer before it knows the outcome. A vote or a choice, made in role. The reveal. One sentence on what the decision tells us about being small. Every fact comes from this page; the sources are given with page numbers so that you can say where each number comes from. Name your teacher; four minutes to teach.</w:t>
      </w:r>
    </w:p>
    <w:p>
      <w:r>
        <w:br w:type="page"/>
      </w:r>
    </w:p>
    <w:p>
      <w:pPr>
        <w:spacing w:after="40" w:line="264" w:lineRule="auto"/>
      </w:pPr>
      <w:r>
        <w:rPr>
          <w:rFonts w:ascii="Times New Roman" w:hAnsi="Times New Roman"/>
          <w:b/>
          <w:i w:val="0"/>
          <w:color w:val="000000"/>
          <w:sz w:val="26"/>
        </w:rPr>
        <w:t>Room 3</w:t>
      </w:r>
    </w:p>
    <w:p>
      <w:pPr>
        <w:spacing w:after="80" w:line="264" w:lineRule="auto"/>
      </w:pPr>
      <w:r>
        <w:rPr>
          <w:rFonts w:ascii="Times New Roman" w:hAnsi="Times New Roman"/>
          <w:b/>
          <w:i w:val="0"/>
          <w:color w:val="000000"/>
          <w:sz w:val="30"/>
        </w:rPr>
        <w:t>Jamaica, July 1962: independence, and the door to Britain closes</w:t>
      </w:r>
    </w:p>
    <w:p>
      <w:pPr>
        <w:spacing w:after="160" w:line="264" w:lineRule="auto"/>
      </w:pPr>
      <w:r>
        <w:rPr>
          <w:rFonts w:ascii="Times New Roman" w:hAnsi="Times New Roman"/>
          <w:b w:val="0"/>
          <w:i/>
          <w:color w:val="000000"/>
          <w:sz w:val="23"/>
        </w:rPr>
        <w:t>The class decides as a Kingston family whether to go, and where.</w:t>
      </w:r>
    </w:p>
    <w:p>
      <w:pPr>
        <w:spacing w:after="100" w:line="264" w:lineRule="auto"/>
      </w:pPr>
      <w:r>
        <w:rPr>
          <w:rFonts w:ascii="Times New Roman" w:hAnsi="Times New Roman"/>
          <w:b/>
          <w:color w:val="000000"/>
        </w:rPr>
        <w:t xml:space="preserve">The door open. </w:t>
      </w:r>
      <w:r>
        <w:rPr>
          <w:rFonts w:ascii="Times New Roman" w:hAnsi="Times New Roman"/>
          <w:color w:val="000000"/>
        </w:rPr>
        <w:t>From 1948 people from the Caribbean came to Britain to work in the new health service, on the buses and in the factories; Jamaica sent more than any other island. In 2015 a British prime minister would tell the Jamaican parliament that "hundreds of thousands from the Commonwealth Caribbean made their way to our shores, helping to build and energise our great public services like the NHS".</w:t>
      </w:r>
    </w:p>
    <w:p>
      <w:pPr>
        <w:spacing w:after="100" w:line="264" w:lineRule="auto"/>
      </w:pPr>
      <w:r>
        <w:rPr>
          <w:rFonts w:ascii="Times New Roman" w:hAnsi="Times New Roman"/>
          <w:b/>
          <w:color w:val="000000"/>
        </w:rPr>
        <w:t xml:space="preserve">The door closing. </w:t>
      </w:r>
      <w:r>
        <w:rPr>
          <w:rFonts w:ascii="Times New Roman" w:hAnsi="Times New Roman"/>
          <w:color w:val="000000"/>
        </w:rPr>
        <w:t>The Commonwealth Immigrants Act took effect on 1 July 1962 and ended the free entry of Commonwealth citizens; Randall Hansen's judgement on the regime it began is that it "was not racist in intention, but was racist in effect" (Hansen 2000). Jamaica became independent five weeks later, on 6 August 1962.</w:t>
      </w:r>
    </w:p>
    <w:p>
      <w:pPr>
        <w:spacing w:after="100" w:line="264" w:lineRule="auto"/>
      </w:pPr>
      <w:r>
        <w:rPr>
          <w:rFonts w:ascii="Times New Roman" w:hAnsi="Times New Roman"/>
          <w:b/>
          <w:color w:val="000000"/>
        </w:rPr>
        <w:t xml:space="preserve">Where the money went, and came from. </w:t>
      </w:r>
      <w:r>
        <w:rPr>
          <w:rFonts w:ascii="Times New Roman" w:hAnsi="Times New Roman"/>
          <w:color w:val="000000"/>
        </w:rPr>
        <w:t>Jamaican emigration turned to the United States and Canada. Money sent home rose from 3 per cent of Jamaica's GDP in 1976 to 15 per cent in 2010 and 23 per cent in 2021 (World Bank). By the 1990s formal remittances "exceeded that of the traditional foreign currency earners of bauxite and sugar" (Thomas-Hope 1999). In 2008, 43 households in 100 received remittances; in 2010, 75 per cent of recipients were women (Bank of Jamaica 2011).</w:t>
      </w:r>
    </w:p>
    <w:p>
      <w:pPr>
        <w:spacing w:after="100" w:line="264" w:lineRule="auto"/>
      </w:pPr>
      <w:r>
        <w:rPr>
          <w:rFonts w:ascii="Times New Roman" w:hAnsi="Times New Roman"/>
          <w:b/>
          <w:color w:val="000000"/>
        </w:rPr>
        <w:t xml:space="preserve">The same door, again. </w:t>
      </w:r>
      <w:r>
        <w:rPr>
          <w:rFonts w:ascii="Times New Roman" w:hAnsi="Times New Roman"/>
          <w:color w:val="000000"/>
        </w:rPr>
        <w:t>In 2018 the Windrush scandal showed people who had arrived from the Caribbean as children before 1973 detained, denied treatment and in some cases deported for lack of papers they had never been given (Slaven 2022).</w:t>
      </w:r>
    </w:p>
    <w:p>
      <w:pPr>
        <w:spacing w:after="100" w:line="264" w:lineRule="auto"/>
      </w:pPr>
      <w:r>
        <w:rPr>
          <w:rFonts w:ascii="Times New Roman" w:hAnsi="Times New Roman"/>
          <w:b/>
          <w:color w:val="000000"/>
        </w:rPr>
        <w:t xml:space="preserve">Sources. </w:t>
      </w:r>
      <w:r>
        <w:rPr>
          <w:rFonts w:ascii="Times New Roman" w:hAnsi="Times New Roman"/>
          <w:color w:val="000000"/>
        </w:rPr>
        <w:t>Hansen, R. (2000) Citizenship and Immigration in Post-war Britain, Oxford University Press. Thomas-Hope, E. (1999) International Migration 37(1), 183 to 207. Bank of Jamaica (2011) Remittances to Jamaica: findings from a national survey of remittance recipients. Slaven, M. (2022) Ethnic and Racial Studies 45(16). World Bank, BX.TRF.PWKR.DT.GD.ZS. Prime Minister's speech to the Jamaican Parliament, 30 September 2015, gov.uk.</w:t>
      </w:r>
    </w:p>
    <w:p>
      <w:pPr>
        <w:spacing w:after="80" w:line="264" w:lineRule="auto" w:before="200"/>
      </w:pPr>
      <w:r>
        <w:rPr>
          <w:rFonts w:ascii="Times New Roman" w:hAnsi="Times New Roman"/>
          <w:b/>
          <w:i w:val="0"/>
          <w:color w:val="000000"/>
          <w:sz w:val="26"/>
        </w:rPr>
        <w:t>Build the lesson, twelve minutes</w:t>
      </w:r>
    </w:p>
    <w:p>
      <w:pPr>
        <w:spacing w:after="120" w:line="264" w:lineRule="auto"/>
      </w:pPr>
      <w:r>
        <w:rPr>
          <w:rFonts w:ascii="Times New Roman" w:hAnsi="Times New Roman"/>
          <w:b w:val="0"/>
          <w:i w:val="0"/>
          <w:color w:val="000000"/>
        </w:rPr>
        <w:t>One source on the screen, in the words of this page. One question the class must answer before it knows the outcome. A vote or a choice, made in role. The reveal. One sentence on what the decision tells us about being small. Every fact comes from this page; the sources are given with page numbers so that you can say where each number comes from. Name your teacher; four minutes to teach.</w:t>
      </w:r>
    </w:p>
    <w:p>
      <w:r>
        <w:br w:type="page"/>
      </w:r>
    </w:p>
    <w:p>
      <w:pPr>
        <w:spacing w:after="40" w:line="264" w:lineRule="auto"/>
      </w:pPr>
      <w:r>
        <w:rPr>
          <w:rFonts w:ascii="Times New Roman" w:hAnsi="Times New Roman"/>
          <w:b/>
          <w:i w:val="0"/>
          <w:color w:val="000000"/>
          <w:sz w:val="26"/>
        </w:rPr>
        <w:t>Room 4</w:t>
      </w:r>
    </w:p>
    <w:p>
      <w:pPr>
        <w:spacing w:after="80" w:line="264" w:lineRule="auto"/>
      </w:pPr>
      <w:r>
        <w:rPr>
          <w:rFonts w:ascii="Times New Roman" w:hAnsi="Times New Roman"/>
          <w:b/>
          <w:i w:val="0"/>
          <w:color w:val="000000"/>
          <w:sz w:val="30"/>
        </w:rPr>
        <w:t>Jamaica, September 2015: a prison instead of reparations</w:t>
      </w:r>
    </w:p>
    <w:p>
      <w:pPr>
        <w:spacing w:after="160" w:line="264" w:lineRule="auto"/>
      </w:pPr>
      <w:r>
        <w:rPr>
          <w:rFonts w:ascii="Times New Roman" w:hAnsi="Times New Roman"/>
          <w:b w:val="0"/>
          <w:i/>
          <w:color w:val="000000"/>
          <w:sz w:val="23"/>
        </w:rPr>
        <w:t>The class decides as the Jamaican cabinet whether to accept the prison.</w:t>
      </w:r>
    </w:p>
    <w:p>
      <w:pPr>
        <w:spacing w:after="100" w:line="264" w:lineRule="auto"/>
      </w:pPr>
      <w:r>
        <w:rPr>
          <w:rFonts w:ascii="Times New Roman" w:hAnsi="Times New Roman"/>
          <w:b/>
          <w:color w:val="000000"/>
        </w:rPr>
        <w:t xml:space="preserve">The claim. </w:t>
      </w:r>
      <w:r>
        <w:rPr>
          <w:rFonts w:ascii="Times New Roman" w:hAnsi="Times New Roman"/>
          <w:color w:val="000000"/>
        </w:rPr>
        <w:t>In March 2014 the Caribbean governments approved "a ten-point plan of the Caribbean Reparations Commission to achieve reparatory justice" for slavery (Strecker 2017), including a formal apology, debt cancellation and development support. Its chairman, the historian Hilary Beckles, had set out the case in Britain's Black Debt (2013).</w:t>
      </w:r>
    </w:p>
    <w:p>
      <w:pPr>
        <w:spacing w:after="100" w:line="264" w:lineRule="auto"/>
      </w:pPr>
      <w:r>
        <w:rPr>
          <w:rFonts w:ascii="Times New Roman" w:hAnsi="Times New Roman"/>
          <w:b/>
          <w:color w:val="000000"/>
        </w:rPr>
        <w:t xml:space="preserve">The visit. </w:t>
      </w:r>
      <w:r>
        <w:rPr>
          <w:rFonts w:ascii="Times New Roman" w:hAnsi="Times New Roman"/>
          <w:color w:val="000000"/>
        </w:rPr>
        <w:t>On 30 September 2015 David Cameron, the first British prime minister to visit Jamaica in fourteen years, told parliament that slavery's wounds ran deep but that "we can move on from this painful legacy and continue to build for the future". He announced a "£300 million much-needed infrastructure fund across the Caribbean" for "Roads. Bridges. Ports."</w:t>
      </w:r>
    </w:p>
    <w:p>
      <w:pPr>
        <w:spacing w:after="100" w:line="264" w:lineRule="auto"/>
      </w:pPr>
      <w:r>
        <w:rPr>
          <w:rFonts w:ascii="Times New Roman" w:hAnsi="Times New Roman"/>
          <w:b/>
          <w:color w:val="000000"/>
        </w:rPr>
        <w:t xml:space="preserve">The offer. </w:t>
      </w:r>
      <w:r>
        <w:rPr>
          <w:rFonts w:ascii="Times New Roman" w:hAnsi="Times New Roman"/>
          <w:color w:val="000000"/>
        </w:rPr>
        <w:t>The same day the British government announced 25 million pounds of aid to build a 1,500 bed prison in Jamaica, so that Jamaicans in British prisons (619 on 30 June 2015) could be sent home to serve sentences of four years or more, "saving the British taxpayer millions of pounds but still ensuring justice is done" (UK Government press release, 30 September 2015).</w:t>
      </w:r>
    </w:p>
    <w:p>
      <w:pPr>
        <w:spacing w:after="100" w:line="264" w:lineRule="auto"/>
      </w:pPr>
      <w:r>
        <w:rPr>
          <w:rFonts w:ascii="Times New Roman" w:hAnsi="Times New Roman"/>
          <w:b/>
          <w:color w:val="000000"/>
        </w:rPr>
        <w:t xml:space="preserve">The reply. </w:t>
      </w:r>
      <w:r>
        <w:rPr>
          <w:rFonts w:ascii="Times New Roman" w:hAnsi="Times New Roman"/>
          <w:color w:val="000000"/>
        </w:rPr>
        <w:t>The Jamaican member of parliament Mike Henry called the prison offer "an insult to the people of Jamaica". The prison was not built; in June 2020 Prime Minister Holness stated that the previous government had rejected the offer (Jamaica Gleaner, 7 June 2020).</w:t>
      </w:r>
    </w:p>
    <w:p>
      <w:pPr>
        <w:spacing w:after="100" w:line="264" w:lineRule="auto"/>
      </w:pPr>
      <w:r>
        <w:rPr>
          <w:rFonts w:ascii="Times New Roman" w:hAnsi="Times New Roman"/>
          <w:b/>
          <w:color w:val="000000"/>
        </w:rPr>
        <w:t xml:space="preserve">What the accounts say. </w:t>
      </w:r>
      <w:r>
        <w:rPr>
          <w:rFonts w:ascii="Times New Roman" w:hAnsi="Times New Roman"/>
          <w:color w:val="000000"/>
        </w:rPr>
        <w:t>The 25 million pounds would have counted as official development assistance under the OECD rules, because it came from a government, for a listed country, as a grant. Whether it served Jamaica's development or Britain's prison budget is the question the accounts do not ask.</w:t>
      </w:r>
    </w:p>
    <w:p>
      <w:pPr>
        <w:spacing w:after="100" w:line="264" w:lineRule="auto"/>
      </w:pPr>
      <w:r>
        <w:rPr>
          <w:rFonts w:ascii="Times New Roman" w:hAnsi="Times New Roman"/>
          <w:b/>
          <w:color w:val="000000"/>
        </w:rPr>
        <w:t xml:space="preserve">Sources. </w:t>
      </w:r>
      <w:r>
        <w:rPr>
          <w:rFonts w:ascii="Times New Roman" w:hAnsi="Times New Roman"/>
          <w:color w:val="000000"/>
        </w:rPr>
        <w:t>Strecker, A. (2017) Leiden Journal of International Law 30(3), 629 to 646. Beckles, H. McD. (2013) Britain's Black Debt, University of the West Indies Press. Prime Minister's speech to the Jamaican Parliament, 30 September 2015, gov.uk. UK Government, UK signs deal to send Jamaican prisoners home, 30 September 2015, gov.uk. Jamaica Gleaner, 7 June 2020. OECD, official development assistance: definition and coverage.</w:t>
      </w:r>
    </w:p>
    <w:p>
      <w:pPr>
        <w:spacing w:after="80" w:line="264" w:lineRule="auto" w:before="200"/>
      </w:pPr>
      <w:r>
        <w:rPr>
          <w:rFonts w:ascii="Times New Roman" w:hAnsi="Times New Roman"/>
          <w:b/>
          <w:i w:val="0"/>
          <w:color w:val="000000"/>
          <w:sz w:val="26"/>
        </w:rPr>
        <w:t>Build the lesson, twelve minutes</w:t>
      </w:r>
    </w:p>
    <w:p>
      <w:pPr>
        <w:spacing w:after="120" w:line="264" w:lineRule="auto"/>
      </w:pPr>
      <w:r>
        <w:rPr>
          <w:rFonts w:ascii="Times New Roman" w:hAnsi="Times New Roman"/>
          <w:b w:val="0"/>
          <w:i w:val="0"/>
          <w:color w:val="000000"/>
        </w:rPr>
        <w:t>One source on the screen, in the words of this page. One question the class must answer before it knows the outcome. A vote or a choice, made in role. The reveal. One sentence on what the decision tells us about being small. Every fact comes from this page; the sources are given with page numbers so that you can say where each number comes from. Name your teacher; four minutes to teach.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