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2A4E" w14:textId="77777777" w:rsidR="00E47C15" w:rsidRPr="00F87988" w:rsidRDefault="006B740E" w:rsidP="00E47C15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THE </w:t>
      </w:r>
      <w:r w:rsidR="00E47C15" w:rsidRPr="00F8798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ASSAM ROYAL GLOBAL UNIVERSITY</w:t>
      </w:r>
    </w:p>
    <w:p w14:paraId="1B31EB59" w14:textId="77777777" w:rsidR="00E47C15" w:rsidRPr="00F87988" w:rsidRDefault="00E47C15" w:rsidP="00E47C15">
      <w:pPr>
        <w:jc w:val="left"/>
        <w:rPr>
          <w:rFonts w:ascii="Times New Roman" w:eastAsia="Times New Roman" w:hAnsi="Times New Roman" w:cs="Times New Roman"/>
          <w:lang w:val="en-US"/>
        </w:rPr>
      </w:pPr>
    </w:p>
    <w:p w14:paraId="651E7638" w14:textId="77777777" w:rsidR="00E47C15" w:rsidRPr="00070897" w:rsidRDefault="006B740E" w:rsidP="006B740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708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Ph D Course Work (Fine Arts)</w:t>
      </w:r>
    </w:p>
    <w:p w14:paraId="5CAA27B8" w14:textId="77777777" w:rsidR="006B740E" w:rsidRDefault="006B740E" w:rsidP="006B740E">
      <w:pPr>
        <w:rPr>
          <w:rFonts w:ascii="Times New Roman" w:eastAsia="Times New Roman" w:hAnsi="Times New Roman" w:cs="Vrinda"/>
          <w:b/>
          <w:color w:val="000000" w:themeColor="text1"/>
          <w:sz w:val="24"/>
          <w:szCs w:val="30"/>
          <w:lang w:val="en-US" w:bidi="as-IN"/>
        </w:rPr>
      </w:pPr>
      <w:r w:rsidRPr="000708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Paper III: Recent Trends in Fine Arts</w:t>
      </w:r>
    </w:p>
    <w:p w14:paraId="06C2B4D5" w14:textId="77777777" w:rsidR="00CC254C" w:rsidRPr="00CC254C" w:rsidRDefault="00CC254C" w:rsidP="006B740E">
      <w:pPr>
        <w:rPr>
          <w:rFonts w:ascii="Times New Roman" w:eastAsia="Times New Roman" w:hAnsi="Times New Roman" w:cs="Vrinda"/>
          <w:b/>
          <w:color w:val="000000" w:themeColor="text1"/>
          <w:sz w:val="24"/>
          <w:szCs w:val="30"/>
          <w:lang w:val="en-US" w:bidi="as-IN"/>
        </w:rPr>
      </w:pPr>
      <w:r>
        <w:rPr>
          <w:rFonts w:ascii="Times New Roman" w:eastAsia="Times New Roman" w:hAnsi="Times New Roman" w:cs="Vrinda"/>
          <w:b/>
          <w:color w:val="000000" w:themeColor="text1"/>
          <w:sz w:val="24"/>
          <w:szCs w:val="30"/>
          <w:lang w:val="en-US" w:bidi="as-IN"/>
        </w:rPr>
        <w:t>Credit: 03</w:t>
      </w:r>
    </w:p>
    <w:p w14:paraId="76A013EF" w14:textId="77777777" w:rsidR="006B740E" w:rsidRDefault="006B740E" w:rsidP="006B740E">
      <w:pPr>
        <w:jc w:val="left"/>
        <w:rPr>
          <w:rFonts w:ascii="Times New Roman" w:eastAsia="Times New Roman" w:hAnsi="Times New Roman" w:cs="Times New Roman"/>
          <w:b/>
          <w:color w:val="000000" w:themeColor="text1"/>
          <w:u w:val="single"/>
          <w:lang w:val="en-US"/>
        </w:rPr>
      </w:pPr>
    </w:p>
    <w:p w14:paraId="7629BFBE" w14:textId="77777777" w:rsidR="006B740E" w:rsidRPr="004641F1" w:rsidRDefault="00A23E13" w:rsidP="00F87D3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A32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course aims at highlighting</w:t>
      </w:r>
      <w:r w:rsidR="004D5007" w:rsidRPr="00464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 topics</w:t>
      </w:r>
      <w:r w:rsidR="00A32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of recent trend of Fine Arts, t</w:t>
      </w:r>
      <w:r w:rsidR="004D5007" w:rsidRPr="00464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hrough </w:t>
      </w:r>
      <w:r w:rsidR="00A32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which</w:t>
      </w:r>
      <w:r w:rsidR="000C4F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</w:t>
      </w:r>
      <w:r w:rsidR="004D5007" w:rsidRPr="00464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stud</w:t>
      </w:r>
      <w:r w:rsidR="00F87D3F" w:rsidRPr="00464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ents w</w:t>
      </w:r>
      <w:r w:rsidR="00A32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ould be able to understand</w:t>
      </w:r>
      <w:r w:rsidR="00F87D3F" w:rsidRPr="00464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A32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contemporary art scenario</w:t>
      </w:r>
      <w:r w:rsidR="004D5007" w:rsidRPr="00464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of India as well as </w:t>
      </w:r>
      <w:r w:rsidR="00A32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that of the West</w:t>
      </w:r>
      <w:r w:rsidR="004D5007" w:rsidRPr="00464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="00A322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would be able to explore new areas of research</w:t>
      </w:r>
      <w:r w:rsidR="00F87D3F" w:rsidRPr="00464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1520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64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 this paper, the following topics are divided into 4 units.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520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paper carries 100 marks.</w:t>
      </w:r>
      <w:r w:rsidR="00F87D3F" w:rsidRPr="00464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4D5007" w:rsidRPr="00464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AADC90B" w14:textId="77777777" w:rsidR="006B740E" w:rsidRPr="004641F1" w:rsidRDefault="006B740E" w:rsidP="006B740E">
      <w:pPr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38068FED" w14:textId="77777777" w:rsidR="006B740E" w:rsidRPr="004641F1" w:rsidRDefault="00D10BC6" w:rsidP="006B740E">
      <w:pPr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Detailed Syllabus: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1950"/>
        <w:gridCol w:w="4253"/>
        <w:gridCol w:w="1633"/>
      </w:tblGrid>
      <w:tr w:rsidR="00014BCF" w:rsidRPr="004641F1" w14:paraId="6DCB2F2A" w14:textId="77777777" w:rsidTr="00D20121">
        <w:trPr>
          <w:trHeight w:val="325"/>
          <w:jc w:val="center"/>
        </w:trPr>
        <w:tc>
          <w:tcPr>
            <w:tcW w:w="1065" w:type="dxa"/>
            <w:vAlign w:val="center"/>
          </w:tcPr>
          <w:p w14:paraId="6ECC4445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Concept </w:t>
            </w: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Modules</w:t>
            </w:r>
          </w:p>
        </w:tc>
        <w:tc>
          <w:tcPr>
            <w:tcW w:w="1950" w:type="dxa"/>
            <w:vAlign w:val="center"/>
          </w:tcPr>
          <w:p w14:paraId="2D640EB8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4253" w:type="dxa"/>
            <w:vAlign w:val="center"/>
          </w:tcPr>
          <w:p w14:paraId="729561DD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Course content</w:t>
            </w:r>
          </w:p>
        </w:tc>
        <w:tc>
          <w:tcPr>
            <w:tcW w:w="1633" w:type="dxa"/>
            <w:vAlign w:val="center"/>
          </w:tcPr>
          <w:p w14:paraId="67D83DE4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014BCF" w:rsidRPr="004641F1" w14:paraId="2B4E615D" w14:textId="77777777" w:rsidTr="00D10BC6">
        <w:trPr>
          <w:trHeight w:val="935"/>
          <w:jc w:val="center"/>
        </w:trPr>
        <w:tc>
          <w:tcPr>
            <w:tcW w:w="1065" w:type="dxa"/>
            <w:vAlign w:val="center"/>
          </w:tcPr>
          <w:p w14:paraId="26DD4835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</w:p>
        </w:tc>
        <w:tc>
          <w:tcPr>
            <w:tcW w:w="1950" w:type="dxa"/>
            <w:vAlign w:val="center"/>
          </w:tcPr>
          <w:p w14:paraId="1227ED1A" w14:textId="77777777" w:rsidR="00014BCF" w:rsidRPr="004641F1" w:rsidRDefault="00014BCF" w:rsidP="005D28FC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Unit I</w:t>
            </w:r>
          </w:p>
          <w:p w14:paraId="20BFBBBD" w14:textId="77777777" w:rsidR="00014BCF" w:rsidRPr="004641F1" w:rsidRDefault="00014BCF" w:rsidP="005D28FC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920B76" w14:textId="77777777" w:rsidR="00014BCF" w:rsidRPr="004641F1" w:rsidRDefault="00014BCF" w:rsidP="005D28FC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BCEAAD9" w14:textId="77777777" w:rsidR="00014BCF" w:rsidRPr="004641F1" w:rsidRDefault="00A322C9" w:rsidP="005D28F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Trends in </w:t>
            </w:r>
            <w:r w:rsidR="00014BCF" w:rsidRPr="004641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Indian Art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special reference to</w:t>
            </w:r>
            <w:r w:rsidR="00644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</w:t>
            </w:r>
            <w:r w:rsidR="006442B0" w:rsidRPr="006442B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century a</w:t>
            </w:r>
            <w:r w:rsidR="004207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rtists and their works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27D1FC6" w14:textId="77777777" w:rsidR="00014BCF" w:rsidRPr="004641F1" w:rsidRDefault="00014BCF" w:rsidP="005D28F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3538B9B6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39393B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14:paraId="1A557C87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9716B1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4BCF" w:rsidRPr="004641F1" w14:paraId="080D0E0E" w14:textId="77777777" w:rsidTr="00D10BC6">
        <w:trPr>
          <w:trHeight w:val="1178"/>
          <w:jc w:val="center"/>
        </w:trPr>
        <w:tc>
          <w:tcPr>
            <w:tcW w:w="1065" w:type="dxa"/>
            <w:vAlign w:val="center"/>
          </w:tcPr>
          <w:p w14:paraId="78F9F730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II.</w:t>
            </w:r>
          </w:p>
          <w:p w14:paraId="288CD471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14:paraId="3DBEAB06" w14:textId="77777777" w:rsidR="00014BCF" w:rsidRPr="004641F1" w:rsidRDefault="00014BCF" w:rsidP="005D28FC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Unit II</w:t>
            </w:r>
          </w:p>
        </w:tc>
        <w:tc>
          <w:tcPr>
            <w:tcW w:w="4253" w:type="dxa"/>
            <w:vAlign w:val="center"/>
          </w:tcPr>
          <w:p w14:paraId="56B3D2F4" w14:textId="77777777" w:rsidR="00014BCF" w:rsidRPr="004641F1" w:rsidRDefault="00014BCF" w:rsidP="006B740E">
            <w:pPr>
              <w:pStyle w:val="Default"/>
              <w:jc w:val="left"/>
            </w:pPr>
            <w:r w:rsidRPr="004641F1">
              <w:t>Western Art (Modern Period) I: From Realism to Constructivism</w:t>
            </w:r>
            <w:r w:rsidR="00713CC4">
              <w:t xml:space="preserve">   </w:t>
            </w:r>
          </w:p>
        </w:tc>
        <w:tc>
          <w:tcPr>
            <w:tcW w:w="1633" w:type="dxa"/>
            <w:vAlign w:val="center"/>
          </w:tcPr>
          <w:p w14:paraId="4BB0C94F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27C067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014BCF" w:rsidRPr="004641F1" w14:paraId="55744AA1" w14:textId="77777777" w:rsidTr="00D10BC6">
        <w:trPr>
          <w:trHeight w:val="1322"/>
          <w:jc w:val="center"/>
        </w:trPr>
        <w:tc>
          <w:tcPr>
            <w:tcW w:w="1065" w:type="dxa"/>
            <w:vAlign w:val="center"/>
          </w:tcPr>
          <w:p w14:paraId="77E0F25E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III.</w:t>
            </w:r>
          </w:p>
        </w:tc>
        <w:tc>
          <w:tcPr>
            <w:tcW w:w="1950" w:type="dxa"/>
            <w:vAlign w:val="center"/>
          </w:tcPr>
          <w:p w14:paraId="0BBF04B3" w14:textId="77777777" w:rsidR="00014BCF" w:rsidRPr="004641F1" w:rsidRDefault="00014BCF" w:rsidP="005D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406F1" w14:textId="77777777" w:rsidR="00014BCF" w:rsidRPr="004641F1" w:rsidRDefault="00014BCF" w:rsidP="005D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B2312" w14:textId="77777777" w:rsidR="00014BCF" w:rsidRPr="004641F1" w:rsidRDefault="00014BCF" w:rsidP="005D28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Unit III</w:t>
            </w:r>
          </w:p>
          <w:p w14:paraId="78ED2302" w14:textId="77777777" w:rsidR="00014BCF" w:rsidRPr="004641F1" w:rsidRDefault="00014BCF" w:rsidP="005D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4E9C8" w14:textId="77777777" w:rsidR="00014BCF" w:rsidRPr="004641F1" w:rsidRDefault="00014BCF" w:rsidP="005D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9606C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3A4BCA5" w14:textId="77777777" w:rsidR="00014BCF" w:rsidRPr="004641F1" w:rsidRDefault="00014BCF" w:rsidP="005D28F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4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Western Art (Modern Period) II: From Abstract Expressionism to Post Modern Art</w:t>
            </w:r>
            <w:r w:rsidR="00713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</w:tc>
        <w:tc>
          <w:tcPr>
            <w:tcW w:w="1633" w:type="dxa"/>
            <w:vAlign w:val="center"/>
          </w:tcPr>
          <w:p w14:paraId="31E5BC44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014BCF" w:rsidRPr="004641F1" w14:paraId="2CF3C509" w14:textId="77777777" w:rsidTr="00D10BC6">
        <w:trPr>
          <w:trHeight w:val="890"/>
          <w:jc w:val="center"/>
        </w:trPr>
        <w:tc>
          <w:tcPr>
            <w:tcW w:w="1065" w:type="dxa"/>
            <w:vAlign w:val="center"/>
          </w:tcPr>
          <w:p w14:paraId="695FD8BB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IV.</w:t>
            </w:r>
          </w:p>
        </w:tc>
        <w:tc>
          <w:tcPr>
            <w:tcW w:w="1950" w:type="dxa"/>
            <w:vAlign w:val="center"/>
          </w:tcPr>
          <w:p w14:paraId="1D0A5A66" w14:textId="77777777" w:rsidR="00014BCF" w:rsidRPr="004641F1" w:rsidRDefault="00014BCF" w:rsidP="005D28FC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3AB414" w14:textId="77777777" w:rsidR="00014BCF" w:rsidRPr="00785C22" w:rsidRDefault="00785C22" w:rsidP="00785C2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C22">
              <w:rPr>
                <w:rFonts w:ascii="Times New Roman" w:hAnsi="Times New Roman" w:cs="Times New Roman"/>
                <w:b/>
                <w:sz w:val="24"/>
                <w:szCs w:val="24"/>
              </w:rPr>
              <w:t>Unit IV</w:t>
            </w:r>
          </w:p>
          <w:p w14:paraId="341B1F82" w14:textId="77777777" w:rsidR="00014BCF" w:rsidRPr="004641F1" w:rsidRDefault="00014BCF" w:rsidP="005D28FC">
            <w:pPr>
              <w:jc w:val="left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en-IN"/>
              </w:rPr>
            </w:pPr>
          </w:p>
        </w:tc>
        <w:tc>
          <w:tcPr>
            <w:tcW w:w="4253" w:type="dxa"/>
            <w:vAlign w:val="center"/>
          </w:tcPr>
          <w:p w14:paraId="0F949991" w14:textId="77777777" w:rsidR="00014BCF" w:rsidRPr="004641F1" w:rsidRDefault="00014BCF" w:rsidP="00E47C15">
            <w:pPr>
              <w:pStyle w:val="Default"/>
              <w:jc w:val="left"/>
            </w:pPr>
            <w:r w:rsidRPr="004641F1">
              <w:t>Aesthetics</w:t>
            </w:r>
            <w:r w:rsidR="00A322C9">
              <w:t xml:space="preserve"> in Art: Indian and Western.</w:t>
            </w:r>
          </w:p>
        </w:tc>
        <w:tc>
          <w:tcPr>
            <w:tcW w:w="1633" w:type="dxa"/>
            <w:vAlign w:val="center"/>
          </w:tcPr>
          <w:p w14:paraId="52D41343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014BCF" w:rsidRPr="004641F1" w14:paraId="3E2472DF" w14:textId="77777777" w:rsidTr="00D10BC6">
        <w:trPr>
          <w:trHeight w:val="70"/>
          <w:jc w:val="center"/>
        </w:trPr>
        <w:tc>
          <w:tcPr>
            <w:tcW w:w="7268" w:type="dxa"/>
            <w:gridSpan w:val="3"/>
          </w:tcPr>
          <w:p w14:paraId="1EDABFFD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Total</w:t>
            </w:r>
          </w:p>
        </w:tc>
        <w:tc>
          <w:tcPr>
            <w:tcW w:w="1633" w:type="dxa"/>
            <w:vAlign w:val="center"/>
          </w:tcPr>
          <w:p w14:paraId="49041EF5" w14:textId="77777777" w:rsidR="00014BCF" w:rsidRPr="004641F1" w:rsidRDefault="00014BCF" w:rsidP="005D28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1757B4FF" w14:textId="77777777" w:rsidR="00E47C15" w:rsidRPr="004641F1" w:rsidRDefault="00E47C15" w:rsidP="00E47C1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C76844" w14:textId="77777777" w:rsidR="00E47C15" w:rsidRPr="0091136E" w:rsidRDefault="00E47C15" w:rsidP="00E47C15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en-US"/>
        </w:rPr>
      </w:pPr>
      <w:r w:rsidRPr="009113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Reference Books</w:t>
      </w:r>
    </w:p>
    <w:p w14:paraId="6EF7B312" w14:textId="77777777" w:rsidR="00226D09" w:rsidRPr="0091136E" w:rsidRDefault="00226D09" w:rsidP="00E47C15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en-US"/>
        </w:rPr>
      </w:pPr>
    </w:p>
    <w:p w14:paraId="2F9DA67C" w14:textId="77777777" w:rsidR="004641F1" w:rsidRPr="005C69E4" w:rsidRDefault="004641F1" w:rsidP="004641F1">
      <w:pPr>
        <w:pStyle w:val="ListParagraph"/>
        <w:numPr>
          <w:ilvl w:val="0"/>
          <w:numId w:val="4"/>
        </w:numPr>
        <w:spacing w:after="200"/>
        <w:jc w:val="left"/>
        <w:rPr>
          <w:rFonts w:ascii="Times New Roman" w:hAnsi="Times New Roman" w:cs="Times New Roman"/>
          <w:sz w:val="24"/>
          <w:szCs w:val="24"/>
        </w:rPr>
      </w:pPr>
      <w:r w:rsidRPr="005C69E4">
        <w:rPr>
          <w:rFonts w:ascii="Times New Roman" w:hAnsi="Times New Roman" w:cs="Times New Roman"/>
          <w:sz w:val="24"/>
          <w:szCs w:val="24"/>
        </w:rPr>
        <w:t xml:space="preserve">Craven, R. C., </w:t>
      </w:r>
      <w:r w:rsidRPr="005C69E4">
        <w:rPr>
          <w:rFonts w:ascii="Times New Roman" w:hAnsi="Times New Roman" w:cs="Times New Roman"/>
          <w:i/>
          <w:sz w:val="24"/>
          <w:szCs w:val="24"/>
        </w:rPr>
        <w:t>Indian Art</w:t>
      </w:r>
      <w:r w:rsidRPr="005C69E4">
        <w:rPr>
          <w:rFonts w:ascii="Times New Roman" w:hAnsi="Times New Roman" w:cs="Times New Roman"/>
          <w:sz w:val="24"/>
          <w:szCs w:val="24"/>
        </w:rPr>
        <w:t>, Thames &amp; Hudson, London, 1997</w:t>
      </w:r>
    </w:p>
    <w:p w14:paraId="4E08C115" w14:textId="77777777" w:rsidR="004641F1" w:rsidRPr="005C69E4" w:rsidRDefault="004641F1" w:rsidP="004641F1">
      <w:pPr>
        <w:pStyle w:val="ListParagraph"/>
        <w:numPr>
          <w:ilvl w:val="0"/>
          <w:numId w:val="4"/>
        </w:numPr>
        <w:spacing w:after="200"/>
        <w:jc w:val="left"/>
        <w:rPr>
          <w:rFonts w:ascii="Times New Roman" w:hAnsi="Times New Roman" w:cs="Times New Roman"/>
          <w:sz w:val="24"/>
          <w:szCs w:val="24"/>
        </w:rPr>
      </w:pPr>
      <w:r w:rsidRPr="005C69E4">
        <w:rPr>
          <w:rFonts w:ascii="Times New Roman" w:hAnsi="Times New Roman" w:cs="Times New Roman"/>
          <w:sz w:val="24"/>
          <w:szCs w:val="24"/>
        </w:rPr>
        <w:t xml:space="preserve">Mitter, P., </w:t>
      </w:r>
      <w:r w:rsidRPr="005C69E4">
        <w:rPr>
          <w:rFonts w:ascii="Times New Roman" w:hAnsi="Times New Roman" w:cs="Times New Roman"/>
          <w:i/>
          <w:sz w:val="24"/>
          <w:szCs w:val="24"/>
        </w:rPr>
        <w:t>Indian Art</w:t>
      </w:r>
      <w:r w:rsidRPr="005C69E4">
        <w:rPr>
          <w:rFonts w:ascii="Times New Roman" w:hAnsi="Times New Roman" w:cs="Times New Roman"/>
          <w:sz w:val="24"/>
          <w:szCs w:val="24"/>
        </w:rPr>
        <w:t xml:space="preserve">, Oxford University </w:t>
      </w:r>
      <w:proofErr w:type="gramStart"/>
      <w:r w:rsidRPr="005C69E4">
        <w:rPr>
          <w:rFonts w:ascii="Times New Roman" w:hAnsi="Times New Roman" w:cs="Times New Roman"/>
          <w:sz w:val="24"/>
          <w:szCs w:val="24"/>
        </w:rPr>
        <w:t>Press,  2001</w:t>
      </w:r>
      <w:proofErr w:type="gramEnd"/>
    </w:p>
    <w:p w14:paraId="40E41AE5" w14:textId="77777777" w:rsidR="005C69E4" w:rsidRPr="005C69E4" w:rsidRDefault="005C69E4" w:rsidP="005C69E4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Read, H., </w:t>
      </w:r>
      <w:r w:rsidRPr="00BE6F95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A Concise History of Modern Painting</w:t>
      </w:r>
      <w:r w:rsidR="00BE6F9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,</w:t>
      </w: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 Thames &amp; Hudson, 1985</w:t>
      </w:r>
    </w:p>
    <w:p w14:paraId="09E89BFC" w14:textId="77777777" w:rsidR="005C69E4" w:rsidRPr="005C69E4" w:rsidRDefault="005C69E4" w:rsidP="004641F1">
      <w:pPr>
        <w:pStyle w:val="ListParagraph"/>
        <w:numPr>
          <w:ilvl w:val="0"/>
          <w:numId w:val="4"/>
        </w:numPr>
        <w:spacing w:after="200"/>
        <w:jc w:val="left"/>
        <w:rPr>
          <w:rFonts w:ascii="Times New Roman" w:hAnsi="Times New Roman" w:cs="Times New Roman"/>
          <w:sz w:val="24"/>
          <w:szCs w:val="24"/>
        </w:rPr>
      </w:pPr>
      <w:r w:rsidRPr="005C69E4">
        <w:rPr>
          <w:rFonts w:ascii="Times New Roman" w:hAnsi="Times New Roman" w:cs="Times New Roman"/>
          <w:sz w:val="24"/>
          <w:szCs w:val="24"/>
        </w:rPr>
        <w:t xml:space="preserve">Dalmia, Y., </w:t>
      </w:r>
      <w:r w:rsidRPr="005C69E4">
        <w:rPr>
          <w:rFonts w:ascii="Times New Roman" w:hAnsi="Times New Roman" w:cs="Times New Roman"/>
          <w:i/>
          <w:sz w:val="24"/>
          <w:szCs w:val="24"/>
        </w:rPr>
        <w:t>Contemporary Indian Art</w:t>
      </w:r>
      <w:r w:rsidRPr="005C69E4">
        <w:rPr>
          <w:rFonts w:ascii="Times New Roman" w:hAnsi="Times New Roman" w:cs="Times New Roman"/>
          <w:sz w:val="24"/>
          <w:szCs w:val="24"/>
        </w:rPr>
        <w:t>, Marg Foundation, 2002</w:t>
      </w:r>
    </w:p>
    <w:p w14:paraId="3BB4CF64" w14:textId="77777777" w:rsidR="004641F1" w:rsidRPr="005C69E4" w:rsidRDefault="004641F1" w:rsidP="004641F1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Janson, H.W., </w:t>
      </w:r>
      <w:r w:rsidRPr="005C69E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A History of Art</w:t>
      </w: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, Harry N. Abrams, New York, 1991</w:t>
      </w:r>
    </w:p>
    <w:p w14:paraId="2284F5B0" w14:textId="77777777" w:rsidR="004641F1" w:rsidRPr="005C69E4" w:rsidRDefault="004641F1" w:rsidP="004641F1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Arnason, H. H., </w:t>
      </w:r>
      <w:r w:rsidRPr="005C69E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A History of Modern Art</w:t>
      </w: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, Pearson, 1998</w:t>
      </w:r>
    </w:p>
    <w:p w14:paraId="61D229EA" w14:textId="77777777" w:rsidR="0039305A" w:rsidRPr="005C69E4" w:rsidRDefault="0039305A" w:rsidP="004641F1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Gupta, S., </w:t>
      </w:r>
      <w:r w:rsidRPr="00D10BC6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Art </w:t>
      </w:r>
      <w:proofErr w:type="gramStart"/>
      <w:r w:rsidRPr="00D10BC6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Beauty</w:t>
      </w:r>
      <w:proofErr w:type="gramEnd"/>
      <w:r w:rsidRPr="00D10BC6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and Creativity</w:t>
      </w: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, D.K. Printworld (P) Ltd, 1999</w:t>
      </w:r>
    </w:p>
    <w:p w14:paraId="569EF310" w14:textId="77777777" w:rsidR="0039305A" w:rsidRPr="005C69E4" w:rsidRDefault="0039305A" w:rsidP="004641F1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Read, H., </w:t>
      </w:r>
      <w:r w:rsidRPr="00D10BC6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The Philosophy of Modern Art</w:t>
      </w: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, Kessinger Publishing, 2010</w:t>
      </w:r>
    </w:p>
    <w:p w14:paraId="2ADF8CB9" w14:textId="77777777" w:rsidR="0039305A" w:rsidRPr="005C69E4" w:rsidRDefault="0039305A" w:rsidP="004641F1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Read, H., </w:t>
      </w:r>
      <w:r w:rsidRPr="000644C6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The Meaning of Art</w:t>
      </w: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, Faber &amp; Faber, 1984</w:t>
      </w:r>
    </w:p>
    <w:p w14:paraId="239F1224" w14:textId="0231842B" w:rsidR="0039305A" w:rsidRPr="009E2A58" w:rsidRDefault="0039305A" w:rsidP="009E2A58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proofErr w:type="spellStart"/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Moszynska</w:t>
      </w:r>
      <w:proofErr w:type="spellEnd"/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, A., </w:t>
      </w:r>
      <w:r w:rsidRPr="000644C6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Abstract Art</w:t>
      </w:r>
      <w:r w:rsidRPr="005C69E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, Thames &amp; Hudson, 1990</w:t>
      </w:r>
    </w:p>
    <w:sectPr w:rsidR="0039305A" w:rsidRPr="009E2A58" w:rsidSect="0011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5E06"/>
    <w:multiLevelType w:val="hybridMultilevel"/>
    <w:tmpl w:val="D0DAC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051EE9"/>
    <w:multiLevelType w:val="hybridMultilevel"/>
    <w:tmpl w:val="419A2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890298"/>
    <w:multiLevelType w:val="hybridMultilevel"/>
    <w:tmpl w:val="6B1A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D3D2B"/>
    <w:multiLevelType w:val="hybridMultilevel"/>
    <w:tmpl w:val="D1B23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BC30DE"/>
    <w:multiLevelType w:val="hybridMultilevel"/>
    <w:tmpl w:val="CA70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79835">
    <w:abstractNumId w:val="1"/>
  </w:num>
  <w:num w:numId="2" w16cid:durableId="28338902">
    <w:abstractNumId w:val="3"/>
  </w:num>
  <w:num w:numId="3" w16cid:durableId="842352471">
    <w:abstractNumId w:val="4"/>
  </w:num>
  <w:num w:numId="4" w16cid:durableId="147671502">
    <w:abstractNumId w:val="2"/>
  </w:num>
  <w:num w:numId="5" w16cid:durableId="212384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C15"/>
    <w:rsid w:val="00014BCF"/>
    <w:rsid w:val="000644C6"/>
    <w:rsid w:val="00070897"/>
    <w:rsid w:val="000C4FF2"/>
    <w:rsid w:val="00113BE9"/>
    <w:rsid w:val="00152035"/>
    <w:rsid w:val="00226D09"/>
    <w:rsid w:val="002A6C94"/>
    <w:rsid w:val="002F097B"/>
    <w:rsid w:val="00306243"/>
    <w:rsid w:val="00355820"/>
    <w:rsid w:val="0039305A"/>
    <w:rsid w:val="0042078B"/>
    <w:rsid w:val="004641F1"/>
    <w:rsid w:val="004D5007"/>
    <w:rsid w:val="005C69E4"/>
    <w:rsid w:val="00604A3F"/>
    <w:rsid w:val="006442B0"/>
    <w:rsid w:val="006B740E"/>
    <w:rsid w:val="00713CC4"/>
    <w:rsid w:val="00785C22"/>
    <w:rsid w:val="0078668F"/>
    <w:rsid w:val="007E61F4"/>
    <w:rsid w:val="00850977"/>
    <w:rsid w:val="0091136E"/>
    <w:rsid w:val="009E2A58"/>
    <w:rsid w:val="00A23E13"/>
    <w:rsid w:val="00A322C9"/>
    <w:rsid w:val="00A7199C"/>
    <w:rsid w:val="00BE6F95"/>
    <w:rsid w:val="00C4459D"/>
    <w:rsid w:val="00CC254C"/>
    <w:rsid w:val="00D10BC6"/>
    <w:rsid w:val="00D20121"/>
    <w:rsid w:val="00D20715"/>
    <w:rsid w:val="00E47C15"/>
    <w:rsid w:val="00EB23C3"/>
    <w:rsid w:val="00EC496B"/>
    <w:rsid w:val="00F46F99"/>
    <w:rsid w:val="00F8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92EC"/>
  <w15:docId w15:val="{4FE662AC-4429-4230-BAC4-6DAECD61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C15"/>
    <w:pPr>
      <w:spacing w:after="0" w:line="240" w:lineRule="auto"/>
      <w:jc w:val="center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C15"/>
    <w:pPr>
      <w:spacing w:after="0" w:line="240" w:lineRule="auto"/>
      <w:jc w:val="center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7C15"/>
    <w:pPr>
      <w:ind w:left="720"/>
      <w:contextualSpacing/>
    </w:pPr>
  </w:style>
  <w:style w:type="paragraph" w:customStyle="1" w:styleId="Default">
    <w:name w:val="Default"/>
    <w:rsid w:val="00E47C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Mousumi Deka</cp:lastModifiedBy>
  <cp:revision>29</cp:revision>
  <dcterms:created xsi:type="dcterms:W3CDTF">2017-08-07T11:46:00Z</dcterms:created>
  <dcterms:modified xsi:type="dcterms:W3CDTF">2024-06-13T08:20:00Z</dcterms:modified>
</cp:coreProperties>
</file>