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Évaluation INSI 511 – Vidéosurveillance intelligente</w:t>
      </w:r>
    </w:p>
    <w:p>
      <w:pPr/>
      <w:r>
        <w:t xml:space="preserve">Oct 28, 2026</w:t>
      </w:r>
      <w:r>
        <w:t xml:space="preserve"> · </w:t>
      </w:r>
      <w:r>
        <w:t xml:space="preserve">@fiderana HL</w:t>
      </w:r>
    </w:p>
    <w:p>
      <w:pPr>
        <w:pStyle w:val="Heading2"/>
      </w:pPr>
      <w:r>
        <w:t xml:space="preserve">Sujet 1 – Fiche de cadrage</w:t>
      </w:r>
    </w:p>
    <w:p>
      <w:pPr/>
      <w:r>
        <w:rPr>
          <w:b/>
        </w:rPr>
        <w:t xml:space="preserve">1. Titre provisoire.</w:t>
      </w:r>
      <w:r>
        <w:t xml:space="preserve"> Vidéosurveillance intelligente en périphérie : compromis précision–latence–énergie de détecteurs légers sur Raspberry Pi 5, avec supervision distante sécurisée</w:t>
      </w:r>
    </w:p>
    <w:p>
      <w:pPr/>
      <w:r>
        <w:rPr>
          <w:b/>
        </w:rPr>
        <w:t xml:space="preserve">2. Entonnoir</w:t>
      </w:r>
    </w:p>
    <w:p>
      <w:pPr>
        <w:pStyle w:val="ListParagraph"/>
        <w:numPr>
          <w:ilvl w:val="0"/>
          <w:numId w:val="2"/>
        </w:numPr>
      </w:pPr>
      <w:r>
        <w:rPr>
          <w:b/>
        </w:rPr>
        <w:t xml:space="preserve">Thème :</w:t>
      </w:r>
      <w:r>
        <w:t xml:space="preserve"> intelligence artificielle appliquée à la vidéosurveillance.</w:t>
      </w:r>
    </w:p>
    <w:p>
      <w:pPr>
        <w:pStyle w:val="ListParagraph"/>
        <w:numPr>
          <w:ilvl w:val="0"/>
          <w:numId w:val="2"/>
        </w:numPr>
      </w:pPr>
      <w:r>
        <w:rPr>
          <w:b/>
        </w:rPr>
        <w:t xml:space="preserve">Sujet :</w:t>
      </w:r>
      <w:r>
        <w:t xml:space="preserve"> détection d'intrusion (personne présente dans une zone interdite) par IA embarquée en périphérie, avec alerte envoyée à un smartphone.</w:t>
      </w:r>
    </w:p>
    <w:p>
      <w:pPr>
        <w:pStyle w:val="ListParagraph"/>
        <w:numPr>
          <w:ilvl w:val="0"/>
          <w:numId w:val="2"/>
        </w:numPr>
      </w:pPr>
      <w:r>
        <w:rPr>
          <w:b/>
        </w:rPr>
        <w:t xml:space="preserve">Problème :</w:t>
      </w:r>
      <w:r>
        <w:t xml:space="preserve"> les caméras doivent désormais analyser les images localement pour limiter la dépendance à un cloud parfois indisponible (Chen et al., 2022). Or, sur du matériel modeste comme le Raspberry Pi, les modèles les plus précis sont aussi les plus lents et les plus énergivores (Alqahtani et al., 2024). Des prototypes détectent les personnes et enregistrent des clips (Nithiyaraj &amp; Sooriyaarachchi, 2025), mais les travaux consultés détaillent peu l'accès distant depuis un smartphone et le coût de sa sécurisation sur la latence des alertes. On ne sait donc pas quelles configurations allient précision acceptable et alerte en temps réel sur un dispositif à ressources limitées, canal chiffré compris.</w:t>
      </w:r>
    </w:p>
    <w:p>
      <w:pPr/>
      <w:r>
        <w:rPr>
          <w:b/>
        </w:rPr>
        <w:t xml:space="preserve">3. Questions de recherche</w:t>
      </w:r>
    </w:p>
    <w:p>
      <w:pPr>
        <w:pStyle w:val="ListParagraph"/>
        <w:numPr>
          <w:ilvl w:val="0"/>
          <w:numId w:val="3"/>
        </w:numPr>
      </w:pPr>
      <w:r>
        <w:rPr>
          <w:b/>
        </w:rPr>
        <w:t xml:space="preserve">QP</w:t>
      </w:r>
      <w:r>
        <w:t xml:space="preserve"> (comparative et de conception) : sur un Raspberry Pi 5, quelles configurations de détecteur léger (YOLOv8n ou SSD-MobileNet, en FP32 ou quantifié int8) perdent au plus 5 points de mAP@0,5 par rapport à leur version FP32 et livrent l'alerte au smartphone en 1 s ou moins (p95) par un canal chiffré ?</w:t>
      </w:r>
    </w:p>
    <w:p>
      <w:pPr>
        <w:pStyle w:val="ListParagraph"/>
        <w:numPr>
          <w:ilvl w:val="0"/>
          <w:numId w:val="3"/>
        </w:numPr>
      </w:pPr>
      <w:r>
        <w:rPr>
          <w:b/>
        </w:rPr>
        <w:t xml:space="preserve">QS1</w:t>
      </w:r>
      <w:r>
        <w:t xml:space="preserve"> (comparative) : quel est l'effet de la quantification int8 sur la mAP@0,5, le temps d'inférence (p95) et la consommation de chaque modèle ?</w:t>
      </w:r>
    </w:p>
    <w:p>
      <w:pPr>
        <w:pStyle w:val="ListParagraph"/>
        <w:numPr>
          <w:ilvl w:val="0"/>
          <w:numId w:val="3"/>
        </w:numPr>
      </w:pPr>
      <w:r>
        <w:rPr>
          <w:b/>
        </w:rPr>
        <w:t xml:space="preserve">QS2</w:t>
      </w:r>
      <w:r>
        <w:t xml:space="preserve"> (descriptive) : quelle est la latence de bout en bout de l'alerte (p50, p95) et quel surcoût le chiffrement du canal ajoute-t-il ?</w:t>
      </w:r>
    </w:p>
    <w:p>
      <w:pPr>
        <w:pStyle w:val="ListParagraph"/>
        <w:numPr>
          <w:ilvl w:val="0"/>
          <w:numId w:val="3"/>
        </w:numPr>
      </w:pPr>
      <w:r>
        <w:rPr>
          <w:b/>
        </w:rPr>
        <w:t xml:space="preserve">QS3</w:t>
      </w:r>
      <w:r>
        <w:t xml:space="preserve"> (de conception) : comment concevoir une supervision distante (authentification, canal chiffré, alertes avec clips horodatés) utilisable depuis un smartphone ?</w:t>
      </w:r>
    </w:p>
    <w:p>
      <w:pPr/>
      <w:r>
        <w:rPr>
          <w:b/>
        </w:rPr>
        <w:t xml:space="preserve">4. Hypothèse.</w:t>
      </w:r>
      <w:r>
        <w:t xml:space="preserve"> </w:t>
      </w:r>
      <w:r>
        <w:rPr>
          <w:b/>
        </w:rPr>
        <w:t xml:space="preserve">H1 :</w:t>
      </w:r>
      <w:r>
        <w:t xml:space="preserve"> sur Raspberry Pi 5, au moins une configuration int8 (YOLOv8n ou SSD-MobileNet) perd 5 points de mAP@0,5 ou moins par rapport à sa version FP32 et livre l'alerte au smartphone en 1 s ou moins (p95) par un canal chiffré. En test statistique, H0 : aucune différence de latence entre int8 et FP32 (Mann-Whitney, α = 0,05). </w:t>
      </w:r>
      <w:r>
        <w:rPr>
          <w:i/>
        </w:rPr>
        <w:t xml:space="preserve">Seuils :</w:t>
      </w:r>
      <w:r>
        <w:t xml:space="preserve"> 1 s est un seuil de réactivité jugé acceptable pour une alerte de sécurité ; 5 points est une perte jugée tolérable pour une alerte de présence humaine, fixée a priori et à confirmer par une étude pilote (environ 10 vidéos).</w:t>
      </w:r>
    </w:p>
    <w:p>
      <w:pPr/>
      <w:r>
        <w:rPr>
          <w:b/>
        </w:rPr>
        <w:t xml:space="preserve">5. Variables et opérationnalisation</w:t>
      </w:r>
    </w:p>
    <w:tbl>
      <w:tblPr>
        <w:tblStyle w:val="TableGrid"/>
        <w:tblW w:w="0" w:type="auto"/>
        <w:tblLayout w:type="fixed"/>
        <w:tblLook w:val="04A0" w:firstRow="1" w:lastRow="0" w:firstColumn="0" w:lastColumn="0" w:noHBand="0" w:noVBand="1"/>
      </w:tblPr>
      <w:tblGrid>
        <w:gridCol w:w="2598"/>
        <w:gridCol w:w="2657"/>
        <w:gridCol w:w="4104"/>
      </w:tblGrid>
      <w:tr>
        <w:trPr>
          <w:tblHeader/>
        </w:trPr>
        <w:tc>
          <w:tcPr>
            <w:tcW w:w="2598" w:type="dxa"/>
            <w:shd w:val="clear" w:color="auto" w:fill="F2F2F2"/>
          </w:tcPr>
          <w:p>
            <w:pPr/>
            <w:r>
              <w:t xml:space="preserve">Concept</w:t>
            </w:r>
          </w:p>
        </w:tc>
        <w:tc>
          <w:tcPr>
            <w:tcW w:w="2657" w:type="dxa"/>
            <w:shd w:val="clear" w:color="auto" w:fill="F2F2F2"/>
          </w:tcPr>
          <w:p>
            <w:pPr/>
            <w:r>
              <w:t xml:space="preserve">Variable (rôle)</w:t>
            </w:r>
          </w:p>
        </w:tc>
        <w:tc>
          <w:tcPr>
            <w:tcW w:w="4104" w:type="dxa"/>
            <w:shd w:val="clear" w:color="auto" w:fill="F2F2F2"/>
          </w:tcPr>
          <w:p>
            <w:pPr/>
            <w:r>
              <w:t xml:space="preserve">Mesure (unité, instrument)</w:t>
            </w:r>
          </w:p>
        </w:tc>
      </w:tr>
      <w:tr>
        <w:tc>
          <w:tcPr>
            <w:tcW w:w="2598" w:type="dxa"/>
          </w:tcPr>
          <w:p>
            <w:pPr/>
            <w:r>
              <w:t xml:space="preserve">Modèle</w:t>
            </w:r>
          </w:p>
        </w:tc>
        <w:tc>
          <w:tcPr>
            <w:tcW w:w="2657" w:type="dxa"/>
          </w:tcPr>
          <w:p>
            <w:pPr/>
            <w:r>
              <w:t xml:space="preserve">Détecteur (indépendante)</w:t>
            </w:r>
          </w:p>
        </w:tc>
        <w:tc>
          <w:tcPr>
            <w:tcW w:w="4104" w:type="dxa"/>
          </w:tcPr>
          <w:p>
            <w:pPr/>
            <w:r>
              <w:t xml:space="preserve">YOLOv8n ; SSD-MobileNet</w:t>
            </w:r>
          </w:p>
        </w:tc>
      </w:tr>
      <w:tr>
        <w:tc>
          <w:tcPr>
            <w:tcW w:w="2598" w:type="dxa"/>
          </w:tcPr>
          <w:p>
            <w:pPr/>
            <w:r>
              <w:t xml:space="preserve">Précision numérique</w:t>
            </w:r>
          </w:p>
        </w:tc>
        <w:tc>
          <w:tcPr>
            <w:tcW w:w="2657" w:type="dxa"/>
          </w:tcPr>
          <w:p>
            <w:pPr/>
            <w:r>
              <w:t xml:space="preserve">FP32 / int8 (indépendante)</w:t>
            </w:r>
          </w:p>
        </w:tc>
        <w:tc>
          <w:tcPr>
            <w:tcW w:w="4104" w:type="dxa"/>
          </w:tcPr>
          <w:p>
            <w:pPr/>
            <w:r>
              <w:t xml:space="preserve">Export quantifié (TFLite ou ONNX)</w:t>
            </w:r>
          </w:p>
        </w:tc>
      </w:tr>
      <w:tr>
        <w:tc>
          <w:tcPr>
            <w:tcW w:w="2598" w:type="dxa"/>
          </w:tcPr>
          <w:p>
            <w:pPr/>
            <w:r>
              <w:t xml:space="preserve">Sécurité du canal</w:t>
            </w:r>
          </w:p>
        </w:tc>
        <w:tc>
          <w:tcPr>
            <w:tcW w:w="2657" w:type="dxa"/>
          </w:tcPr>
          <w:p>
            <w:pPr/>
            <w:r>
              <w:t xml:space="preserve">Non chiffré / chiffré (indépendante)</w:t>
            </w:r>
          </w:p>
        </w:tc>
        <w:tc>
          <w:tcPr>
            <w:tcW w:w="4104" w:type="dxa"/>
          </w:tcPr>
          <w:p>
            <w:pPr/>
            <w:r>
              <w:t xml:space="preserve">TLS ou VPN WireGuard</w:t>
            </w:r>
          </w:p>
        </w:tc>
      </w:tr>
      <w:tr>
        <w:tc>
          <w:tcPr>
            <w:tcW w:w="2598" w:type="dxa"/>
          </w:tcPr>
          <w:p>
            <w:pPr/>
            <w:r>
              <w:t xml:space="preserve">Précision de détection</w:t>
            </w:r>
          </w:p>
        </w:tc>
        <w:tc>
          <w:tcPr>
            <w:tcW w:w="2657" w:type="dxa"/>
          </w:tcPr>
          <w:p>
            <w:pPr/>
            <w:r>
              <w:t xml:space="preserve">mAP@0,5, classe « personne » (dépendante)</w:t>
            </w:r>
          </w:p>
        </w:tc>
        <w:tc>
          <w:tcPr>
            <w:tcW w:w="4104" w:type="dxa"/>
          </w:tcPr>
          <w:p>
            <w:pPr/>
            <w:r>
              <w:t xml:space="preserve">%, pycocotools ou FiftyOne ; COCO-personne et environ 200 images annotées localement</w:t>
            </w:r>
          </w:p>
        </w:tc>
      </w:tr>
      <w:tr>
        <w:tc>
          <w:tcPr>
            <w:tcW w:w="2598" w:type="dxa"/>
          </w:tcPr>
          <w:p>
            <w:pPr/>
            <w:r>
              <w:t xml:space="preserve">Latence d'inférence</w:t>
            </w:r>
          </w:p>
        </w:tc>
        <w:tc>
          <w:tcPr>
            <w:tcW w:w="2657" w:type="dxa"/>
          </w:tcPr>
          <w:p>
            <w:pPr/>
            <w:r>
              <w:t xml:space="preserve">Temps par image (dépendante)</w:t>
            </w:r>
          </w:p>
        </w:tc>
        <w:tc>
          <w:tcPr>
            <w:tcW w:w="4104" w:type="dxa"/>
          </w:tcPr>
          <w:p>
            <w:pPr/>
            <w:r>
              <w:t xml:space="preserve">ms, p50 et p95 sur au moins 1 000 images</w:t>
            </w:r>
          </w:p>
        </w:tc>
      </w:tr>
      <w:tr>
        <w:tc>
          <w:tcPr>
            <w:tcW w:w="2598" w:type="dxa"/>
          </w:tcPr>
          <w:p>
            <w:pPr/>
            <w:r>
              <w:t xml:space="preserve">Latence de l'alerte</w:t>
            </w:r>
          </w:p>
        </w:tc>
        <w:tc>
          <w:tcPr>
            <w:tcW w:w="2657" w:type="dxa"/>
          </w:tcPr>
          <w:p>
            <w:pPr/>
            <w:r>
              <w:t xml:space="preserve">Capture → réception smartphone (dépendante)</w:t>
            </w:r>
          </w:p>
        </w:tc>
        <w:tc>
          <w:tcPr>
            <w:tcW w:w="4104" w:type="dxa"/>
          </w:tcPr>
          <w:p>
            <w:pPr/>
            <w:r>
              <w:t xml:space="preserve">s, p95 sur au moins 100 événements ; horloges synchronisées (NTP)</w:t>
            </w:r>
          </w:p>
        </w:tc>
      </w:tr>
      <w:tr>
        <w:tc>
          <w:tcPr>
            <w:tcW w:w="2598" w:type="dxa"/>
          </w:tcPr>
          <w:p>
            <w:pPr/>
            <w:r>
              <w:t xml:space="preserve">Consommation</w:t>
            </w:r>
          </w:p>
        </w:tc>
        <w:tc>
          <w:tcPr>
            <w:tcW w:w="2657" w:type="dxa"/>
          </w:tcPr>
          <w:p>
            <w:pPr/>
            <w:r>
              <w:t xml:space="preserve">Puissance moyenne (dépendante)</w:t>
            </w:r>
          </w:p>
        </w:tc>
        <w:tc>
          <w:tcPr>
            <w:tcW w:w="4104" w:type="dxa"/>
          </w:tcPr>
          <w:p>
            <w:pPr/>
            <w:r>
              <w:t xml:space="preserve">W, wattmètre USB</w:t>
            </w:r>
          </w:p>
        </w:tc>
      </w:tr>
      <w:tr>
        <w:tc>
          <w:tcPr>
            <w:tcW w:w="2598" w:type="dxa"/>
          </w:tcPr>
          <w:p>
            <w:pPr/>
            <w:r>
              <w:t xml:space="preserve">Conditions</w:t>
            </w:r>
          </w:p>
        </w:tc>
        <w:tc>
          <w:tcPr>
            <w:tcW w:w="2657" w:type="dxa"/>
          </w:tcPr>
          <w:p>
            <w:pPr/>
            <w:r>
              <w:t xml:space="preserve">Contrôlées</w:t>
            </w:r>
          </w:p>
        </w:tc>
        <w:tc>
          <w:tcPr>
            <w:tcW w:w="4104" w:type="dxa"/>
          </w:tcPr>
          <w:p>
            <w:pPr/>
            <w:r>
              <w:t xml:space="preserve">Résolution d'entrée, cadence, refroidissement, versions logicielles, Wi-Fi local, mêmes vidéos</w:t>
            </w:r>
          </w:p>
        </w:tc>
      </w:tr>
    </w:tbl>
    <w:p>
      <w:pPr/>
      <w:r>
        <w:rPr>
          <w:b/>
        </w:rPr>
        <w:t xml:space="preserve">6. Contributions attendues</w:t>
      </w:r>
    </w:p>
    <w:p>
      <w:pPr>
        <w:pStyle w:val="ListParagraph"/>
        <w:numPr>
          <w:ilvl w:val="0"/>
          <w:numId w:val="4"/>
        </w:numPr>
      </w:pPr>
      <w:r>
        <w:t xml:space="preserve">Une comparaison quantitative de quatre configurations (2 modèles × 2 précisions) sur Raspberry Pi 5 : mAP@0,5, latence p95, consommation.</w:t>
      </w:r>
    </w:p>
    <w:p>
      <w:pPr>
        <w:pStyle w:val="ListParagraph"/>
        <w:numPr>
          <w:ilvl w:val="0"/>
          <w:numId w:val="4"/>
        </w:numPr>
      </w:pPr>
      <w:r>
        <w:t xml:space="preserve">Une mesure du surcoût du chiffrement du canal sur la latence de bout en bout de l'alerte.</w:t>
      </w:r>
    </w:p>
    <w:p>
      <w:pPr>
        <w:pStyle w:val="ListParagraph"/>
        <w:numPr>
          <w:ilvl w:val="0"/>
          <w:numId w:val="4"/>
        </w:numPr>
      </w:pPr>
      <w:r>
        <w:t xml:space="preserve">Un prototype documenté et reproductible (code, scripts de mesure) de supervision distante par smartphone, avec des recommandations de configuration pour caméras à bas coût.</w:t>
      </w:r>
    </w:p>
    <w:p>
      <w:pPr/>
      <w:r>
        <w:rPr>
          <w:b/>
        </w:rPr>
        <w:t xml:space="preserve">7. Portée et hors-portée.</w:t>
      </w:r>
      <w:r>
        <w:t xml:space="preserve"> </w:t>
      </w:r>
      <w:r>
        <w:rPr>
          <w:i/>
        </w:rPr>
        <w:t xml:space="preserve">Portée :</w:t>
      </w:r>
      <w:r>
        <w:t xml:space="preserve"> une caméra, détection de personnes (intrusion), un Raspberry Pi 5, supervision par smartphone (Wi-Fi local et VPN). </w:t>
      </w:r>
      <w:r>
        <w:rPr>
          <w:i/>
        </w:rPr>
        <w:t xml:space="preserve">Hors-portée :</w:t>
      </w:r>
    </w:p>
    <w:p>
      <w:pPr>
        <w:pStyle w:val="ListParagraph"/>
        <w:numPr>
          <w:ilvl w:val="0"/>
          <w:numId w:val="5"/>
        </w:numPr>
      </w:pPr>
      <w:r>
        <w:t xml:space="preserve">reconnaissance faciale, anonymisation et cadre juridique de la vie privée ;</w:t>
      </w:r>
    </w:p>
    <w:p>
      <w:pPr>
        <w:pStyle w:val="ListParagraph"/>
        <w:numPr>
          <w:ilvl w:val="0"/>
          <w:numId w:val="5"/>
        </w:numPr>
      </w:pPr>
      <w:r>
        <w:t xml:space="preserve">détection de comportements complexes (bagarre, chute) et entraînement de modèles à partir de zéro ;</w:t>
      </w:r>
    </w:p>
    <w:p>
      <w:pPr>
        <w:pStyle w:val="ListParagraph"/>
        <w:numPr>
          <w:ilvl w:val="0"/>
          <w:numId w:val="5"/>
        </w:numPr>
      </w:pPr>
      <w:r>
        <w:t xml:space="preserve">multi-caméras, passage à l'échelle cloud et autres matériels (Jetson, TPU).</w:t>
      </w:r>
    </w:p>
    <w:p>
      <w:pPr/>
      <w:r>
        <w:rPr>
          <w:b/>
        </w:rPr>
        <w:t xml:space="preserve">8. Matrice de faisabilité</w:t>
      </w:r>
    </w:p>
    <w:tbl>
      <w:tblPr>
        <w:tblStyle w:val="TableGrid"/>
        <w:tblW w:w="0" w:type="auto"/>
        <w:tblLayout w:type="fixed"/>
        <w:tblLook w:val="04A0" w:firstRow="1" w:lastRow="0" w:firstColumn="0" w:lastColumn="0" w:noHBand="0" w:noVBand="1"/>
      </w:tblPr>
      <w:tblGrid>
        <w:gridCol w:w="2712"/>
        <w:gridCol w:w="1073"/>
        <w:gridCol w:w="5573"/>
      </w:tblGrid>
      <w:tr>
        <w:trPr>
          <w:tblHeader/>
        </w:trPr>
        <w:tc>
          <w:tcPr>
            <w:tcW w:w="2712" w:type="dxa"/>
            <w:shd w:val="clear" w:color="auto" w:fill="F2F2F2"/>
          </w:tcPr>
          <w:p>
            <w:pPr/>
            <w:r>
              <w:t xml:space="preserve">Dimension</w:t>
            </w:r>
          </w:p>
        </w:tc>
        <w:tc>
          <w:tcPr>
            <w:tcW w:w="1073" w:type="dxa"/>
            <w:shd w:val="clear" w:color="auto" w:fill="F2F2F2"/>
          </w:tcPr>
          <w:p>
            <w:pPr/>
            <w:r>
              <w:t xml:space="preserve">Risque</w:t>
            </w:r>
          </w:p>
        </w:tc>
        <w:tc>
          <w:tcPr>
            <w:tcW w:w="5573" w:type="dxa"/>
            <w:shd w:val="clear" w:color="auto" w:fill="F2F2F2"/>
          </w:tcPr>
          <w:p>
            <w:pPr/>
            <w:r>
              <w:t xml:space="preserve">Solution de repli (effet sur la portée)</w:t>
            </w:r>
          </w:p>
        </w:tc>
      </w:tr>
      <w:tr>
        <w:tc>
          <w:tcPr>
            <w:tcW w:w="2712" w:type="dxa"/>
          </w:tcPr>
          <w:p>
            <w:pPr/>
            <w:r>
              <w:t xml:space="preserve">Temps</w:t>
            </w:r>
          </w:p>
        </w:tc>
        <w:tc>
          <w:tcPr>
            <w:tcW w:w="1073" w:type="dxa"/>
          </w:tcPr>
          <w:p>
            <w:pPr/>
            <w:r>
              <w:t xml:space="preserve">Moyen</w:t>
            </w:r>
          </w:p>
        </w:tc>
        <w:tc>
          <w:tcPr>
            <w:tcW w:w="5573" w:type="dxa"/>
          </w:tcPr>
          <w:p>
            <w:pPr/>
            <w:r>
              <w:t xml:space="preserve">Garder YOLOv8n seul (2 configurations au lieu de 4)</w:t>
            </w:r>
          </w:p>
        </w:tc>
      </w:tr>
      <w:tr>
        <w:tc>
          <w:tcPr>
            <w:tcW w:w="2712" w:type="dxa"/>
          </w:tcPr>
          <w:p>
            <w:pPr/>
            <w:r>
              <w:t xml:space="preserve">Données</w:t>
            </w:r>
          </w:p>
        </w:tc>
        <w:tc>
          <w:tcPr>
            <w:tcW w:w="1073" w:type="dxa"/>
          </w:tcPr>
          <w:p>
            <w:pPr/>
            <w:r>
              <w:t xml:space="preserve">Faible</w:t>
            </w:r>
          </w:p>
        </w:tc>
        <w:tc>
          <w:tcPr>
            <w:tcW w:w="5573" w:type="dxa"/>
          </w:tcPr>
          <w:p>
            <w:pPr/>
            <w:r>
              <w:t xml:space="preserve">COCO public ; corpus local réduit à environ 100 images</w:t>
            </w:r>
          </w:p>
        </w:tc>
      </w:tr>
      <w:tr>
        <w:tc>
          <w:tcPr>
            <w:tcW w:w="2712" w:type="dxa"/>
          </w:tcPr>
          <w:p>
            <w:pPr/>
            <w:r>
              <w:t xml:space="preserve">Matériel et logiciels</w:t>
            </w:r>
          </w:p>
        </w:tc>
        <w:tc>
          <w:tcPr>
            <w:tcW w:w="1073" w:type="dxa"/>
          </w:tcPr>
          <w:p>
            <w:pPr/>
            <w:r>
              <w:t xml:space="preserve">Moyen</w:t>
            </w:r>
          </w:p>
        </w:tc>
        <w:tc>
          <w:tcPr>
            <w:tcW w:w="5573" w:type="dxa"/>
          </w:tcPr>
          <w:p>
            <w:pPr/>
            <w:r>
              <w:t xml:space="preserve">Raspberry Pi 4 ou PC bridé en CPU ; résultats non transposables au Pi 5, signalé en limite ; énergie remplacée par charge CPU et température</w:t>
            </w:r>
          </w:p>
        </w:tc>
      </w:tr>
      <w:tr>
        <w:tc>
          <w:tcPr>
            <w:tcW w:w="2712" w:type="dxa"/>
          </w:tcPr>
          <w:p>
            <w:pPr/>
            <w:r>
              <w:t xml:space="preserve">Compétences</w:t>
            </w:r>
          </w:p>
        </w:tc>
        <w:tc>
          <w:tcPr>
            <w:tcW w:w="1073" w:type="dxa"/>
          </w:tcPr>
          <w:p>
            <w:pPr/>
            <w:r>
              <w:t xml:space="preserve">Moyen</w:t>
            </w:r>
          </w:p>
        </w:tc>
        <w:tc>
          <w:tcPr>
            <w:tcW w:w="5573" w:type="dxa"/>
          </w:tcPr>
          <w:p>
            <w:pPr/>
            <w:r>
              <w:t xml:space="preserve">Exports intégrés (Ultralytics, TFLite), WireGuard standard, tests non paramétriques simples</w:t>
            </w:r>
          </w:p>
        </w:tc>
      </w:tr>
      <w:tr>
        <w:tc>
          <w:tcPr>
            <w:tcW w:w="2712" w:type="dxa"/>
          </w:tcPr>
          <w:p>
            <w:pPr/>
            <w:r>
              <w:t xml:space="preserve">Accès au terrain</w:t>
            </w:r>
          </w:p>
        </w:tc>
        <w:tc>
          <w:tcPr>
            <w:tcW w:w="1073" w:type="dxa"/>
          </w:tcPr>
          <w:p>
            <w:pPr/>
            <w:r>
              <w:t xml:space="preserve">Faible</w:t>
            </w:r>
          </w:p>
        </w:tc>
        <w:tc>
          <w:tcPr>
            <w:tcW w:w="5573" w:type="dxa"/>
          </w:tcPr>
          <w:p>
            <w:pPr/>
            <w:r>
              <w:t xml:space="preserve">Aucun participant ; vidéos publiques et enregistrements de l'auteur</w:t>
            </w:r>
          </w:p>
        </w:tc>
      </w:tr>
      <w:tr>
        <w:tc>
          <w:tcPr>
            <w:tcW w:w="2712" w:type="dxa"/>
          </w:tcPr>
          <w:p>
            <w:pPr/>
            <w:r>
              <w:t xml:space="preserve">Éthique et droit</w:t>
            </w:r>
          </w:p>
        </w:tc>
        <w:tc>
          <w:tcPr>
            <w:tcW w:w="1073" w:type="dxa"/>
          </w:tcPr>
          <w:p>
            <w:pPr/>
            <w:r>
              <w:t xml:space="preserve">Moyen</w:t>
            </w:r>
          </w:p>
        </w:tc>
        <w:tc>
          <w:tcPr>
            <w:tcW w:w="5573" w:type="dxa"/>
          </w:tcPr>
          <w:p>
            <w:pPr/>
            <w:r>
              <w:t xml:space="preserve">Sujets consentants ou vidéos publiques ; ni reconnaissance faciale ni stockage de flux entiers</w:t>
            </w:r>
          </w:p>
        </w:tc>
      </w:tr>
      <w:tr>
        <w:tc>
          <w:tcPr>
            <w:tcW w:w="2712" w:type="dxa"/>
          </w:tcPr>
          <w:p>
            <w:pPr/>
            <w:r>
              <w:t xml:space="preserve">Connectivité</w:t>
            </w:r>
          </w:p>
        </w:tc>
        <w:tc>
          <w:tcPr>
            <w:tcW w:w="1073" w:type="dxa"/>
          </w:tcPr>
          <w:p>
            <w:pPr/>
            <w:r>
              <w:t xml:space="preserve">Moyen</w:t>
            </w:r>
          </w:p>
        </w:tc>
        <w:tc>
          <w:tcPr>
            <w:tcW w:w="5573" w:type="dxa"/>
          </w:tcPr>
          <w:p>
            <w:pPr/>
            <w:r>
              <w:t xml:space="preserve">Modèles, paquets et données préparés hors ligne ; tests en Wi-Fi local ; chiffrement TLS local si le VPN est impossible (étude réduite)</w:t>
            </w:r>
          </w:p>
        </w:tc>
      </w:tr>
    </w:tbl>
    <w:p>
      <w:pPr/>
      <w:r>
        <w:rPr>
          <w:b/>
        </w:rPr>
        <w:t xml:space="preserve">9. Sources identifiées (APA 7e)</w:t>
      </w:r>
    </w:p>
    <w:p>
      <w:pPr>
        <w:pStyle w:val="ListParagraph"/>
        <w:numPr>
          <w:ilvl w:val="0"/>
          <w:numId w:val="6"/>
        </w:numPr>
      </w:pPr>
      <w:r>
        <w:t xml:space="preserve">Alqahtani, D. K., Cheema, A., &amp; Toosi, A. N. (2024). </w:t>
      </w:r>
      <w:r>
        <w:rPr>
          <w:i/>
        </w:rPr>
        <w:t xml:space="preserve">Benchmarking deep learning models for object detection on edge computing devices</w:t>
      </w:r>
      <w:r>
        <w:t xml:space="preserve">. arXiv. https://doi.org/10.48550/arXiv.2409.16808</w:t>
      </w:r>
    </w:p>
    <w:p>
      <w:pPr>
        <w:pStyle w:val="ListParagraph"/>
        <w:numPr>
          <w:ilvl w:val="0"/>
          <w:numId w:val="6"/>
        </w:numPr>
      </w:pPr>
      <w:r>
        <w:t xml:space="preserve">Chen, Y.-Y., Lin, Y.-H., Hu, Y.-C., Hsia, C.-H., Lian, Y.-A., &amp; Jhong, S.-Y. (2022). Distributed real-time object detection based on edge-cloud collaboration for smart video surveillance applications. </w:t>
      </w:r>
      <w:r>
        <w:rPr>
          <w:i/>
        </w:rPr>
        <w:t xml:space="preserve">IEEE Access, 10</w:t>
      </w:r>
      <w:r>
        <w:t xml:space="preserve">, 93745–93759. https://doi.org/10.1109/ACCESS.2022.3203053</w:t>
      </w:r>
    </w:p>
    <w:p>
      <w:pPr>
        <w:pStyle w:val="ListParagraph"/>
        <w:numPr>
          <w:ilvl w:val="0"/>
          <w:numId w:val="6"/>
        </w:numPr>
      </w:pPr>
      <w:r>
        <w:t xml:space="preserve">Nithiyaraj, V., &amp; Sooriyaarachchi, S. J. (2025). </w:t>
      </w:r>
      <w:r>
        <w:rPr>
          <w:i/>
        </w:rPr>
        <w:t xml:space="preserve">CCTVIntelliGuard: An intelligent edge-based human motion detection and alerting system for CCTV surveillance</w:t>
      </w:r>
      <w:r>
        <w:t xml:space="preserve">. Engineering Research Unit, University of Moratuwa. https://dl.lib.uom.lk/handle/123/25110</w:t>
      </w:r>
    </w:p>
    <w:p>
      <w:pPr>
        <w:pStyle w:val="Heading2"/>
      </w:pPr>
      <w:r>
        <w:t xml:space="preserve">Sujet 2 – Recherche documentaire</w:t>
      </w:r>
    </w:p>
    <w:p>
      <w:pPr/>
      <w:r>
        <w:rPr>
          <w:b/>
        </w:rPr>
        <w:t xml:space="preserve">1. Journal de recherche.</w:t>
      </w:r>
      <w:r>
        <w:t xml:space="preserve"> Filtres communs : 2021–2026, anglais, articles de revue ou de conférence. Les colonnes « Date » et « Résultats » sont à remplir au moment où vous lancez chaque requête dans la base : je n'ai pas accès à ces bases et n'ai donc inscrit aucun chiffre.</w:t>
      </w:r>
    </w:p>
    <w:tbl>
      <w:tblPr>
        <w:tblStyle w:val="TableGrid"/>
        <w:tblW w:w="0" w:type="auto"/>
        <w:tblLayout w:type="fixed"/>
        <w:tblLook w:val="04A0" w:firstRow="1" w:lastRow="0" w:firstColumn="0" w:lastColumn="0" w:noHBand="0" w:noVBand="1"/>
      </w:tblPr>
      <w:tblGrid>
        <w:gridCol w:w="720"/>
        <w:gridCol w:w="1497"/>
        <w:gridCol w:w="1027"/>
        <w:gridCol w:w="3122"/>
        <w:gridCol w:w="1497"/>
        <w:gridCol w:w="1497"/>
      </w:tblGrid>
      <w:tr>
        <w:trPr>
          <w:tblHeader/>
        </w:trPr>
        <w:tc>
          <w:tcPr>
            <w:tcW w:w="720" w:type="dxa"/>
            <w:shd w:val="clear" w:color="auto" w:fill="F2F2F2"/>
          </w:tcPr>
          <w:p>
            <w:pPr/>
            <w:r>
              <w:t xml:space="preserve">N°</w:t>
            </w:r>
          </w:p>
        </w:tc>
        <w:tc>
          <w:tcPr>
            <w:tcW w:w="1497" w:type="dxa"/>
            <w:shd w:val="clear" w:color="auto" w:fill="F2F2F2"/>
          </w:tcPr>
          <w:p>
            <w:pPr/>
            <w:r>
              <w:t xml:space="preserve">Date</w:t>
            </w:r>
          </w:p>
        </w:tc>
        <w:tc>
          <w:tcPr>
            <w:tcW w:w="1027" w:type="dxa"/>
            <w:shd w:val="clear" w:color="auto" w:fill="F2F2F2"/>
          </w:tcPr>
          <w:p>
            <w:pPr/>
            <w:r>
              <w:t xml:space="preserve">Base</w:t>
            </w:r>
          </w:p>
        </w:tc>
        <w:tc>
          <w:tcPr>
            <w:tcW w:w="3122" w:type="dxa"/>
            <w:shd w:val="clear" w:color="auto" w:fill="F2F2F2"/>
          </w:tcPr>
          <w:p>
            <w:pPr/>
            <w:r>
              <w:t xml:space="preserve">Équation</w:t>
            </w:r>
          </w:p>
        </w:tc>
        <w:tc>
          <w:tcPr>
            <w:tcW w:w="1497" w:type="dxa"/>
            <w:shd w:val="clear" w:color="auto" w:fill="F2F2F2"/>
          </w:tcPr>
          <w:p>
            <w:pPr/>
            <w:r>
              <w:t xml:space="preserve">Résultats</w:t>
            </w:r>
          </w:p>
        </w:tc>
        <w:tc>
          <w:tcPr>
            <w:tcW w:w="1497" w:type="dxa"/>
            <w:shd w:val="clear" w:color="auto" w:fill="F2F2F2"/>
          </w:tcPr>
          <w:p>
            <w:pPr/>
            <w:r>
              <w:t xml:space="preserve">Retenus</w:t>
            </w:r>
          </w:p>
        </w:tc>
      </w:tr>
      <w:tr>
        <w:tc>
          <w:tcPr>
            <w:tcW w:w="720" w:type="dxa"/>
          </w:tcPr>
          <w:p>
            <w:pPr/>
            <w:r>
              <w:t xml:space="preserve">R1</w:t>
            </w:r>
          </w:p>
        </w:tc>
        <w:tc>
          <w:tcPr>
            <w:tcW w:w="1497" w:type="dxa"/>
          </w:tcPr>
          <w:p>
            <w:pPr/>
            <w:r>
              <w:t xml:space="preserve">à compléter</w:t>
            </w:r>
          </w:p>
        </w:tc>
        <w:tc>
          <w:tcPr>
            <w:tcW w:w="1027" w:type="dxa"/>
          </w:tcPr>
          <w:p>
            <w:pPr/>
            <w:r>
              <w:t xml:space="preserve">IEEE Xplore</w:t>
            </w:r>
          </w:p>
        </w:tc>
        <w:tc>
          <w:tcPr>
            <w:tcW w:w="3122" w:type="dxa"/>
          </w:tcPr>
          <w:p>
            <w:pPr/>
            <w:r>
              <w:t xml:space="preserve">("edge computing" OR "edge AI") AND ("video surveillance" OR "smart surveillance") AND ("object detection" OR "anomaly detection") AND (YOLO OR MobileNet OR lightweight)</w:t>
            </w:r>
          </w:p>
        </w:tc>
        <w:tc>
          <w:tcPr>
            <w:tcW w:w="1497" w:type="dxa"/>
          </w:tcPr>
          <w:p>
            <w:pPr/>
            <w:r>
              <w:t xml:space="preserve">à compléter</w:t>
            </w:r>
          </w:p>
        </w:tc>
        <w:tc>
          <w:tcPr>
            <w:tcW w:w="1497" w:type="dxa"/>
          </w:tcPr>
          <w:p>
            <w:pPr/>
            <w:r>
              <w:t xml:space="preserve">à compléter</w:t>
            </w:r>
          </w:p>
        </w:tc>
      </w:tr>
      <w:tr>
        <w:tc>
          <w:tcPr>
            <w:tcW w:w="720" w:type="dxa"/>
          </w:tcPr>
          <w:p>
            <w:pPr/>
            <w:r>
              <w:t xml:space="preserve">R1</w:t>
            </w:r>
          </w:p>
        </w:tc>
        <w:tc>
          <w:tcPr>
            <w:tcW w:w="1497" w:type="dxa"/>
          </w:tcPr>
          <w:p>
            <w:pPr/>
            <w:r>
              <w:t xml:space="preserve">à compléter</w:t>
            </w:r>
          </w:p>
        </w:tc>
        <w:tc>
          <w:tcPr>
            <w:tcW w:w="1027" w:type="dxa"/>
          </w:tcPr>
          <w:p>
            <w:pPr/>
            <w:r>
              <w:t xml:space="preserve">ACM Digital Library</w:t>
            </w:r>
          </w:p>
        </w:tc>
        <w:tc>
          <w:tcPr>
            <w:tcW w:w="3122" w:type="dxa"/>
          </w:tcPr>
          <w:p>
            <w:pPr/>
            <w:r>
              <w:t xml:space="preserve">Même équation que R1</w:t>
            </w:r>
          </w:p>
        </w:tc>
        <w:tc>
          <w:tcPr>
            <w:tcW w:w="1497" w:type="dxa"/>
          </w:tcPr>
          <w:p>
            <w:pPr/>
            <w:r>
              <w:t xml:space="preserve">à compléter</w:t>
            </w:r>
          </w:p>
        </w:tc>
        <w:tc>
          <w:tcPr>
            <w:tcW w:w="1497" w:type="dxa"/>
          </w:tcPr>
          <w:p>
            <w:pPr/>
            <w:r>
              <w:t xml:space="preserve">à compléter</w:t>
            </w:r>
          </w:p>
        </w:tc>
      </w:tr>
      <w:tr>
        <w:tc>
          <w:tcPr>
            <w:tcW w:w="720" w:type="dxa"/>
          </w:tcPr>
          <w:p>
            <w:pPr/>
            <w:r>
              <w:t xml:space="preserve">R1</w:t>
            </w:r>
          </w:p>
        </w:tc>
        <w:tc>
          <w:tcPr>
            <w:tcW w:w="1497" w:type="dxa"/>
          </w:tcPr>
          <w:p>
            <w:pPr/>
            <w:r>
              <w:t xml:space="preserve">à compléter</w:t>
            </w:r>
          </w:p>
        </w:tc>
        <w:tc>
          <w:tcPr>
            <w:tcW w:w="1027" w:type="dxa"/>
          </w:tcPr>
          <w:p>
            <w:pPr/>
            <w:r>
              <w:t xml:space="preserve">Google Scholar</w:t>
            </w:r>
          </w:p>
        </w:tc>
        <w:tc>
          <w:tcPr>
            <w:tcW w:w="3122" w:type="dxa"/>
          </w:tcPr>
          <w:p>
            <w:pPr/>
            <w:r>
              <w:t xml:space="preserve">edge computing video surveillance object detection YOLO MobileNet lightweight</w:t>
            </w:r>
          </w:p>
        </w:tc>
        <w:tc>
          <w:tcPr>
            <w:tcW w:w="1497" w:type="dxa"/>
          </w:tcPr>
          <w:p>
            <w:pPr/>
            <w:r>
              <w:t xml:space="preserve">à compléter</w:t>
            </w:r>
          </w:p>
        </w:tc>
        <w:tc>
          <w:tcPr>
            <w:tcW w:w="1497" w:type="dxa"/>
          </w:tcPr>
          <w:p>
            <w:pPr/>
            <w:r>
              <w:t xml:space="preserve">à compléter</w:t>
            </w:r>
          </w:p>
        </w:tc>
      </w:tr>
      <w:tr>
        <w:tc>
          <w:tcPr>
            <w:tcW w:w="720" w:type="dxa"/>
          </w:tcPr>
          <w:p>
            <w:pPr/>
            <w:r>
              <w:t xml:space="preserve">R2</w:t>
            </w:r>
          </w:p>
        </w:tc>
        <w:tc>
          <w:tcPr>
            <w:tcW w:w="1497" w:type="dxa"/>
          </w:tcPr>
          <w:p>
            <w:pPr/>
            <w:r>
              <w:t xml:space="preserve">à compléter</w:t>
            </w:r>
          </w:p>
        </w:tc>
        <w:tc>
          <w:tcPr>
            <w:tcW w:w="1027" w:type="dxa"/>
          </w:tcPr>
          <w:p>
            <w:pPr/>
            <w:r>
              <w:t xml:space="preserve">IEEE Xplore</w:t>
            </w:r>
          </w:p>
        </w:tc>
        <w:tc>
          <w:tcPr>
            <w:tcW w:w="3122" w:type="dxa"/>
          </w:tcPr>
          <w:p>
            <w:pPr/>
            <w:r>
              <w:t xml:space="preserve">("Raspberry Pi") AND ("video surveillance" OR CCTV) AND (YOLO OR "object detection") AND (latency OR "energy consumption" OR benchmark)</w:t>
            </w:r>
          </w:p>
        </w:tc>
        <w:tc>
          <w:tcPr>
            <w:tcW w:w="1497" w:type="dxa"/>
          </w:tcPr>
          <w:p>
            <w:pPr/>
            <w:r>
              <w:t xml:space="preserve">à compléter</w:t>
            </w:r>
          </w:p>
        </w:tc>
        <w:tc>
          <w:tcPr>
            <w:tcW w:w="1497" w:type="dxa"/>
          </w:tcPr>
          <w:p>
            <w:pPr/>
            <w:r>
              <w:t xml:space="preserve">à compléter</w:t>
            </w:r>
          </w:p>
        </w:tc>
      </w:tr>
      <w:tr>
        <w:tc>
          <w:tcPr>
            <w:tcW w:w="720" w:type="dxa"/>
          </w:tcPr>
          <w:p>
            <w:pPr/>
            <w:r>
              <w:t xml:space="preserve">R2</w:t>
            </w:r>
          </w:p>
        </w:tc>
        <w:tc>
          <w:tcPr>
            <w:tcW w:w="1497" w:type="dxa"/>
          </w:tcPr>
          <w:p>
            <w:pPr/>
            <w:r>
              <w:t xml:space="preserve">à compléter</w:t>
            </w:r>
          </w:p>
        </w:tc>
        <w:tc>
          <w:tcPr>
            <w:tcW w:w="1027" w:type="dxa"/>
          </w:tcPr>
          <w:p>
            <w:pPr/>
            <w:r>
              <w:t xml:space="preserve">ACM Digital Library</w:t>
            </w:r>
          </w:p>
        </w:tc>
        <w:tc>
          <w:tcPr>
            <w:tcW w:w="3122" w:type="dxa"/>
          </w:tcPr>
          <w:p>
            <w:pPr/>
            <w:r>
              <w:t xml:space="preserve">Même équation que R2</w:t>
            </w:r>
          </w:p>
        </w:tc>
        <w:tc>
          <w:tcPr>
            <w:tcW w:w="1497" w:type="dxa"/>
          </w:tcPr>
          <w:p>
            <w:pPr/>
            <w:r>
              <w:t xml:space="preserve">à compléter</w:t>
            </w:r>
          </w:p>
        </w:tc>
        <w:tc>
          <w:tcPr>
            <w:tcW w:w="1497" w:type="dxa"/>
          </w:tcPr>
          <w:p>
            <w:pPr/>
            <w:r>
              <w:t xml:space="preserve">à compléter</w:t>
            </w:r>
          </w:p>
        </w:tc>
      </w:tr>
      <w:tr>
        <w:tc>
          <w:tcPr>
            <w:tcW w:w="720" w:type="dxa"/>
          </w:tcPr>
          <w:p>
            <w:pPr/>
            <w:r>
              <w:t xml:space="preserve">R2</w:t>
            </w:r>
          </w:p>
        </w:tc>
        <w:tc>
          <w:tcPr>
            <w:tcW w:w="1497" w:type="dxa"/>
          </w:tcPr>
          <w:p>
            <w:pPr/>
            <w:r>
              <w:t xml:space="preserve">à compléter</w:t>
            </w:r>
          </w:p>
        </w:tc>
        <w:tc>
          <w:tcPr>
            <w:tcW w:w="1027" w:type="dxa"/>
          </w:tcPr>
          <w:p>
            <w:pPr/>
            <w:r>
              <w:t xml:space="preserve">Google Scholar</w:t>
            </w:r>
          </w:p>
        </w:tc>
        <w:tc>
          <w:tcPr>
            <w:tcW w:w="3122" w:type="dxa"/>
          </w:tcPr>
          <w:p>
            <w:pPr/>
            <w:r>
              <w:t xml:space="preserve">Raspberry Pi CCTV YOLO latency energy consumption benchmark</w:t>
            </w:r>
          </w:p>
        </w:tc>
        <w:tc>
          <w:tcPr>
            <w:tcW w:w="1497" w:type="dxa"/>
          </w:tcPr>
          <w:p>
            <w:pPr/>
            <w:r>
              <w:t xml:space="preserve">à compléter</w:t>
            </w:r>
          </w:p>
        </w:tc>
        <w:tc>
          <w:tcPr>
            <w:tcW w:w="1497" w:type="dxa"/>
          </w:tcPr>
          <w:p>
            <w:pPr/>
            <w:r>
              <w:t xml:space="preserve">à compléter</w:t>
            </w:r>
          </w:p>
        </w:tc>
      </w:tr>
      <w:tr>
        <w:tc>
          <w:tcPr>
            <w:tcW w:w="720" w:type="dxa"/>
          </w:tcPr>
          <w:p>
            <w:pPr/>
            <w:r>
              <w:t xml:space="preserve">R3</w:t>
            </w:r>
          </w:p>
        </w:tc>
        <w:tc>
          <w:tcPr>
            <w:tcW w:w="1497" w:type="dxa"/>
          </w:tcPr>
          <w:p>
            <w:pPr/>
            <w:r>
              <w:t xml:space="preserve">à compléter</w:t>
            </w:r>
          </w:p>
        </w:tc>
        <w:tc>
          <w:tcPr>
            <w:tcW w:w="1027" w:type="dxa"/>
          </w:tcPr>
          <w:p>
            <w:pPr/>
            <w:r>
              <w:t xml:space="preserve">IEEE Xplore</w:t>
            </w:r>
          </w:p>
        </w:tc>
        <w:tc>
          <w:tcPr>
            <w:tcW w:w="3122" w:type="dxa"/>
          </w:tcPr>
          <w:p>
            <w:pPr/>
            <w:r>
              <w:t xml:space="preserve">("video surveillance" OR CCTV) AND ("remote monitoring" OR "remote access") AND (smartphone OR mobile) AND (secure OR encryption OR VPN OR TLS) AND edge</w:t>
            </w:r>
          </w:p>
        </w:tc>
        <w:tc>
          <w:tcPr>
            <w:tcW w:w="1497" w:type="dxa"/>
          </w:tcPr>
          <w:p>
            <w:pPr/>
            <w:r>
              <w:t xml:space="preserve">à compléter</w:t>
            </w:r>
          </w:p>
        </w:tc>
        <w:tc>
          <w:tcPr>
            <w:tcW w:w="1497" w:type="dxa"/>
          </w:tcPr>
          <w:p>
            <w:pPr/>
            <w:r>
              <w:t xml:space="preserve">à compléter</w:t>
            </w:r>
          </w:p>
        </w:tc>
      </w:tr>
      <w:tr>
        <w:tc>
          <w:tcPr>
            <w:tcW w:w="720" w:type="dxa"/>
          </w:tcPr>
          <w:p>
            <w:pPr/>
            <w:r>
              <w:t xml:space="preserve">R3</w:t>
            </w:r>
          </w:p>
        </w:tc>
        <w:tc>
          <w:tcPr>
            <w:tcW w:w="1497" w:type="dxa"/>
          </w:tcPr>
          <w:p>
            <w:pPr/>
            <w:r>
              <w:t xml:space="preserve">à compléter</w:t>
            </w:r>
          </w:p>
        </w:tc>
        <w:tc>
          <w:tcPr>
            <w:tcW w:w="1027" w:type="dxa"/>
          </w:tcPr>
          <w:p>
            <w:pPr/>
            <w:r>
              <w:t xml:space="preserve">ACM Digital Library</w:t>
            </w:r>
          </w:p>
        </w:tc>
        <w:tc>
          <w:tcPr>
            <w:tcW w:w="3122" w:type="dxa"/>
          </w:tcPr>
          <w:p>
            <w:pPr/>
            <w:r>
              <w:t xml:space="preserve">Même équation que R3</w:t>
            </w:r>
          </w:p>
        </w:tc>
        <w:tc>
          <w:tcPr>
            <w:tcW w:w="1497" w:type="dxa"/>
          </w:tcPr>
          <w:p>
            <w:pPr/>
            <w:r>
              <w:t xml:space="preserve">à compléter</w:t>
            </w:r>
          </w:p>
        </w:tc>
        <w:tc>
          <w:tcPr>
            <w:tcW w:w="1497" w:type="dxa"/>
          </w:tcPr>
          <w:p>
            <w:pPr/>
            <w:r>
              <w:t xml:space="preserve">à compléter</w:t>
            </w:r>
          </w:p>
        </w:tc>
      </w:tr>
      <w:tr>
        <w:tc>
          <w:tcPr>
            <w:tcW w:w="720" w:type="dxa"/>
          </w:tcPr>
          <w:p>
            <w:pPr/>
            <w:r>
              <w:t xml:space="preserve">R3</w:t>
            </w:r>
          </w:p>
        </w:tc>
        <w:tc>
          <w:tcPr>
            <w:tcW w:w="1497" w:type="dxa"/>
          </w:tcPr>
          <w:p>
            <w:pPr/>
            <w:r>
              <w:t xml:space="preserve">à compléter</w:t>
            </w:r>
          </w:p>
        </w:tc>
        <w:tc>
          <w:tcPr>
            <w:tcW w:w="1027" w:type="dxa"/>
          </w:tcPr>
          <w:p>
            <w:pPr/>
            <w:r>
              <w:t xml:space="preserve">Google Scholar</w:t>
            </w:r>
          </w:p>
        </w:tc>
        <w:tc>
          <w:tcPr>
            <w:tcW w:w="3122" w:type="dxa"/>
          </w:tcPr>
          <w:p>
            <w:pPr/>
            <w:r>
              <w:t xml:space="preserve">edge video surveillance remote access smartphone secure encryption VPN</w:t>
            </w:r>
          </w:p>
        </w:tc>
        <w:tc>
          <w:tcPr>
            <w:tcW w:w="1497" w:type="dxa"/>
          </w:tcPr>
          <w:p>
            <w:pPr/>
            <w:r>
              <w:t xml:space="preserve">à compléter</w:t>
            </w:r>
          </w:p>
        </w:tc>
        <w:tc>
          <w:tcPr>
            <w:tcW w:w="1497" w:type="dxa"/>
          </w:tcPr>
          <w:p>
            <w:pPr/>
            <w:r>
              <w:t xml:space="preserve">à compléter</w:t>
            </w:r>
          </w:p>
        </w:tc>
      </w:tr>
    </w:tbl>
    <w:p>
      <w:pPr/>
      <w:r>
        <w:rPr>
          <w:b/>
        </w:rPr>
        <w:t xml:space="preserve">2. Matrice de synthèse.</w:t>
      </w:r>
      <w:r>
        <w:t xml:space="preserve"> Trois sources dont j'ai relu le résumé en ligne ; les cases « non précisé » sont à confirmer dans le texte intégral.</w:t>
      </w:r>
    </w:p>
    <w:p>
      <w:pPr/>
      <w:r>
        <w:rPr>
          <w:i/>
        </w:rPr>
        <w:t xml:space="preserve">a) Colonnes descriptives</w:t>
      </w:r>
    </w:p>
    <w:tbl>
      <w:tblPr>
        <w:tblStyle w:val="TableGrid"/>
        <w:tblW w:w="0" w:type="auto"/>
        <w:tblLayout w:type="fixed"/>
        <w:tblLook w:val="04A0" w:firstRow="1" w:lastRow="0" w:firstColumn="0" w:lastColumn="0" w:noHBand="0" w:noVBand="1"/>
      </w:tblPr>
      <w:tblGrid>
        <w:gridCol w:w="1872"/>
        <w:gridCol w:w="1872"/>
        <w:gridCol w:w="1662"/>
        <w:gridCol w:w="2184"/>
        <w:gridCol w:w="1770"/>
      </w:tblGrid>
      <w:tr>
        <w:trPr>
          <w:tblHeader/>
        </w:trPr>
        <w:tc>
          <w:tcPr>
            <w:tcW w:w="1872" w:type="dxa"/>
            <w:shd w:val="clear" w:color="auto" w:fill="F2F2F2"/>
          </w:tcPr>
          <w:p>
            <w:pPr/>
            <w:r>
              <w:t xml:space="preserve">Source</w:t>
            </w:r>
          </w:p>
        </w:tc>
        <w:tc>
          <w:tcPr>
            <w:tcW w:w="1872" w:type="dxa"/>
            <w:shd w:val="clear" w:color="auto" w:fill="F2F2F2"/>
          </w:tcPr>
          <w:p>
            <w:pPr/>
            <w:r>
              <w:t xml:space="preserve">Type</w:t>
            </w:r>
          </w:p>
        </w:tc>
        <w:tc>
          <w:tcPr>
            <w:tcW w:w="1662" w:type="dxa"/>
            <w:shd w:val="clear" w:color="auto" w:fill="F2F2F2"/>
          </w:tcPr>
          <w:p>
            <w:pPr/>
            <w:r>
              <w:t xml:space="preserve">Objectif</w:t>
            </w:r>
          </w:p>
        </w:tc>
        <w:tc>
          <w:tcPr>
            <w:tcW w:w="2184" w:type="dxa"/>
            <w:shd w:val="clear" w:color="auto" w:fill="F2F2F2"/>
          </w:tcPr>
          <w:p>
            <w:pPr/>
            <w:r>
              <w:t xml:space="preserve">Matériel et méthode</w:t>
            </w:r>
          </w:p>
        </w:tc>
        <w:tc>
          <w:tcPr>
            <w:tcW w:w="1770" w:type="dxa"/>
            <w:shd w:val="clear" w:color="auto" w:fill="F2F2F2"/>
          </w:tcPr>
          <w:p>
            <w:pPr/>
            <w:r>
              <w:t xml:space="preserve">Résultats principaux</w:t>
            </w:r>
          </w:p>
        </w:tc>
      </w:tr>
      <w:tr>
        <w:tc>
          <w:tcPr>
            <w:tcW w:w="1872" w:type="dxa"/>
          </w:tcPr>
          <w:p>
            <w:pPr/>
            <w:r>
              <w:t xml:space="preserve">Alqahtani et al. (2024)</w:t>
            </w:r>
          </w:p>
        </w:tc>
        <w:tc>
          <w:tcPr>
            <w:tcW w:w="1872" w:type="dxa"/>
          </w:tcPr>
          <w:p>
            <w:pPr/>
            <w:r>
              <w:t xml:space="preserve">Préprint, benchmark</w:t>
            </w:r>
          </w:p>
        </w:tc>
        <w:tc>
          <w:tcPr>
            <w:tcW w:w="1662" w:type="dxa"/>
          </w:tcPr>
          <w:p>
            <w:pPr/>
            <w:r>
              <w:t xml:space="preserve">Comparer des détecteurs sur appareils de périphérie</w:t>
            </w:r>
          </w:p>
        </w:tc>
        <w:tc>
          <w:tcPr>
            <w:tcW w:w="2184" w:type="dxa"/>
          </w:tcPr>
          <w:p>
            <w:pPr/>
            <w:r>
              <w:t xml:space="preserve">YOLOv8 (n, s, m), EfficientDet Lite, SSD MobileNet V1 et MobileDet ; Raspberry Pi 3, 4, 5 (avec ou sans TPU), Jetson Orin Nano ; mAP, temps d'inférence, énergie</w:t>
            </w:r>
          </w:p>
        </w:tc>
        <w:tc>
          <w:tcPr>
            <w:tcW w:w="1770" w:type="dxa"/>
          </w:tcPr>
          <w:p>
            <w:pPr/>
            <w:r>
              <w:t xml:space="preserve">Modèles moins précis (SSD MobileNet V1) plus rapides et plus sobres ; YOLOv8 medium plus précis mais plus lent et énergivore ; Orin Nano le plus efficace</w:t>
            </w:r>
          </w:p>
        </w:tc>
      </w:tr>
      <w:tr>
        <w:tc>
          <w:tcPr>
            <w:tcW w:w="1872" w:type="dxa"/>
          </w:tcPr>
          <w:p>
            <w:pPr/>
            <w:r>
              <w:t xml:space="preserve">Chen et al. (2022)</w:t>
            </w:r>
          </w:p>
        </w:tc>
        <w:tc>
          <w:tcPr>
            <w:tcW w:w="1872" w:type="dxa"/>
          </w:tcPr>
          <w:p>
            <w:pPr/>
            <w:r>
              <w:t xml:space="preserve">Article de revue (IEEE Access)</w:t>
            </w:r>
          </w:p>
        </w:tc>
        <w:tc>
          <w:tcPr>
            <w:tcW w:w="1662" w:type="dxa"/>
          </w:tcPr>
          <w:p>
            <w:pPr/>
            <w:r>
              <w:t xml:space="preserve">Proposer un cadre distribué de détection en temps réel par collaboration edge-cloud</w:t>
            </w:r>
          </w:p>
        </w:tc>
        <w:tc>
          <w:tcPr>
            <w:tcW w:w="2184" w:type="dxa"/>
          </w:tcPr>
          <w:p>
            <w:pPr/>
            <w:r>
              <w:t xml:space="preserve">L'IA apprend dans le cloud, le modèle est déployé à distance sur les appareils de périphérie ; évaluation de la réactivité et de la transmission à faible débit</w:t>
            </w:r>
          </w:p>
        </w:tc>
        <w:tc>
          <w:tcPr>
            <w:tcW w:w="1770" w:type="dxa"/>
          </w:tcPr>
          <w:p>
            <w:pPr/>
            <w:r>
              <w:t xml:space="preserve">Avantages potentiels, réactivité en temps réel et faible débit de transmission rapportés</w:t>
            </w:r>
          </w:p>
        </w:tc>
      </w:tr>
      <w:tr>
        <w:tc>
          <w:tcPr>
            <w:tcW w:w="1872" w:type="dxa"/>
          </w:tcPr>
          <w:p>
            <w:pPr/>
            <w:r>
              <w:t xml:space="preserve">Nithiyaraj &amp; Sooriyaarachchi (2025)</w:t>
            </w:r>
          </w:p>
        </w:tc>
        <w:tc>
          <w:tcPr>
            <w:tcW w:w="1872" w:type="dxa"/>
          </w:tcPr>
          <w:p>
            <w:pPr/>
            <w:r>
              <w:t xml:space="preserve">Communication de conférence</w:t>
            </w:r>
          </w:p>
        </w:tc>
        <w:tc>
          <w:tcPr>
            <w:tcW w:w="1662" w:type="dxa"/>
          </w:tcPr>
          <w:p>
            <w:pPr/>
            <w:r>
              <w:t xml:space="preserve">Moderniser des caméras CCTV avec détection humaine et journalisation</w:t>
            </w:r>
          </w:p>
        </w:tc>
        <w:tc>
          <w:tcPr>
            <w:tcW w:w="2184" w:type="dxa"/>
          </w:tcPr>
          <w:p>
            <w:pPr/>
            <w:r>
              <w:t xml:space="preserve">Détection de mouvement OpenCV puis YOLOv8 (deux étapes) sur Raspberry Pi 5 ; clips horodatés</w:t>
            </w:r>
          </w:p>
        </w:tc>
        <w:tc>
          <w:tcPr>
            <w:tcW w:w="1770" w:type="dxa"/>
          </w:tcPr>
          <w:p>
            <w:pPr/>
            <w:r>
              <w:t xml:space="preserve">Solution légère à infrastructure minimale ; chiffres de performance non précisés</w:t>
            </w:r>
          </w:p>
        </w:tc>
      </w:tr>
    </w:tbl>
    <w:p>
      <w:pPr/>
      <w:r>
        <w:rPr>
          <w:i/>
        </w:rPr>
        <w:t xml:space="preserve">b) Colonnes thématiques</w:t>
      </w:r>
    </w:p>
    <w:tbl>
      <w:tblPr>
        <w:tblStyle w:val="TableGrid"/>
        <w:tblW w:w="0" w:type="auto"/>
        <w:tblLayout w:type="fixed"/>
        <w:tblLook w:val="04A0" w:firstRow="1" w:lastRow="0" w:firstColumn="0" w:lastColumn="0" w:noHBand="0" w:noVBand="1"/>
      </w:tblPr>
      <w:tblGrid>
        <w:gridCol w:w="1872"/>
        <w:gridCol w:w="1711"/>
        <w:gridCol w:w="1547"/>
        <w:gridCol w:w="3097"/>
        <w:gridCol w:w="1133"/>
      </w:tblGrid>
      <w:tr>
        <w:trPr>
          <w:tblHeader/>
        </w:trPr>
        <w:tc>
          <w:tcPr>
            <w:tcW w:w="1872" w:type="dxa"/>
            <w:shd w:val="clear" w:color="auto" w:fill="F2F2F2"/>
          </w:tcPr>
          <w:p>
            <w:pPr/>
            <w:r>
              <w:t xml:space="preserve">Source</w:t>
            </w:r>
          </w:p>
        </w:tc>
        <w:tc>
          <w:tcPr>
            <w:tcW w:w="1711" w:type="dxa"/>
            <w:shd w:val="clear" w:color="auto" w:fill="F2F2F2"/>
          </w:tcPr>
          <w:p>
            <w:pPr/>
            <w:r>
              <w:t xml:space="preserve">Détection par IA</w:t>
            </w:r>
          </w:p>
        </w:tc>
        <w:tc>
          <w:tcPr>
            <w:tcW w:w="1547" w:type="dxa"/>
            <w:shd w:val="clear" w:color="auto" w:fill="F2F2F2"/>
          </w:tcPr>
          <w:p>
            <w:pPr/>
            <w:r>
              <w:t xml:space="preserve">Traitement en périphérie</w:t>
            </w:r>
          </w:p>
        </w:tc>
        <w:tc>
          <w:tcPr>
            <w:tcW w:w="3097" w:type="dxa"/>
            <w:shd w:val="clear" w:color="auto" w:fill="F2F2F2"/>
          </w:tcPr>
          <w:p>
            <w:pPr/>
            <w:r>
              <w:t xml:space="preserve">Supervision à distance</w:t>
            </w:r>
          </w:p>
        </w:tc>
        <w:tc>
          <w:tcPr>
            <w:tcW w:w="1133" w:type="dxa"/>
            <w:shd w:val="clear" w:color="auto" w:fill="F2F2F2"/>
          </w:tcPr>
          <w:p>
            <w:pPr/>
            <w:r>
              <w:t xml:space="preserve">Sécurité et vie privée</w:t>
            </w:r>
          </w:p>
        </w:tc>
      </w:tr>
      <w:tr>
        <w:tc>
          <w:tcPr>
            <w:tcW w:w="1872" w:type="dxa"/>
          </w:tcPr>
          <w:p>
            <w:pPr/>
            <w:r>
              <w:t xml:space="preserve">Alqahtani et al. (2024)</w:t>
            </w:r>
          </w:p>
        </w:tc>
        <w:tc>
          <w:tcPr>
            <w:tcW w:w="1711" w:type="dxa"/>
          </w:tcPr>
          <w:p>
            <w:pPr/>
            <w:r>
              <w:t xml:space="preserve">Oui : compare six modèles</w:t>
            </w:r>
          </w:p>
        </w:tc>
        <w:tc>
          <w:tcPr>
            <w:tcW w:w="1547" w:type="dxa"/>
          </w:tcPr>
          <w:p>
            <w:pPr/>
            <w:r>
              <w:t xml:space="preserve">Oui : cœur de l'étude</w:t>
            </w:r>
          </w:p>
        </w:tc>
        <w:tc>
          <w:tcPr>
            <w:tcW w:w="3097" w:type="dxa"/>
          </w:tcPr>
          <w:p>
            <w:pPr/>
            <w:r>
              <w:t xml:space="preserve">Non : images traitées comme requêtes d'un service web</w:t>
            </w:r>
          </w:p>
        </w:tc>
        <w:tc>
          <w:tcPr>
            <w:tcW w:w="1133" w:type="dxa"/>
          </w:tcPr>
          <w:p>
            <w:pPr/>
            <w:r>
              <w:t xml:space="preserve">Non traité</w:t>
            </w:r>
          </w:p>
        </w:tc>
      </w:tr>
      <w:tr>
        <w:tc>
          <w:tcPr>
            <w:tcW w:w="1872" w:type="dxa"/>
          </w:tcPr>
          <w:p>
            <w:pPr/>
            <w:r>
              <w:t xml:space="preserve">Chen et al. (2022)</w:t>
            </w:r>
          </w:p>
        </w:tc>
        <w:tc>
          <w:tcPr>
            <w:tcW w:w="1711" w:type="dxa"/>
          </w:tcPr>
          <w:p>
            <w:pPr/>
            <w:r>
              <w:t xml:space="preserve">Oui : détection d'objets distribuée</w:t>
            </w:r>
          </w:p>
        </w:tc>
        <w:tc>
          <w:tcPr>
            <w:tcW w:w="1547" w:type="dxa"/>
          </w:tcPr>
          <w:p>
            <w:pPr/>
            <w:r>
              <w:t xml:space="preserve">Oui : architecture edge-cloud</w:t>
            </w:r>
          </w:p>
        </w:tc>
        <w:tc>
          <w:tcPr>
            <w:tcW w:w="3097" w:type="dxa"/>
          </w:tcPr>
          <w:p>
            <w:pPr/>
            <w:r>
              <w:t xml:space="preserve">Partiel : déploiement du modèle à distance ; accès smartphone non précisé</w:t>
            </w:r>
          </w:p>
        </w:tc>
        <w:tc>
          <w:tcPr>
            <w:tcW w:w="1133" w:type="dxa"/>
          </w:tcPr>
          <w:p>
            <w:pPr/>
            <w:r>
              <w:t xml:space="preserve">Non précisé</w:t>
            </w:r>
          </w:p>
        </w:tc>
      </w:tr>
      <w:tr>
        <w:tc>
          <w:tcPr>
            <w:tcW w:w="1872" w:type="dxa"/>
          </w:tcPr>
          <w:p>
            <w:pPr/>
            <w:r>
              <w:t xml:space="preserve">Nithiyaraj &amp; Sooriyaarachchi (2025)</w:t>
            </w:r>
          </w:p>
        </w:tc>
        <w:tc>
          <w:tcPr>
            <w:tcW w:w="1711" w:type="dxa"/>
          </w:tcPr>
          <w:p>
            <w:pPr/>
            <w:r>
              <w:t xml:space="preserve">Oui : YOLOv8 en deux étapes</w:t>
            </w:r>
          </w:p>
        </w:tc>
        <w:tc>
          <w:tcPr>
            <w:tcW w:w="1547" w:type="dxa"/>
          </w:tcPr>
          <w:p>
            <w:pPr/>
            <w:r>
              <w:t xml:space="preserve">Oui : Raspberry Pi 5</w:t>
            </w:r>
          </w:p>
        </w:tc>
        <w:tc>
          <w:tcPr>
            <w:tcW w:w="3097" w:type="dxa"/>
          </w:tcPr>
          <w:p>
            <w:pPr/>
            <w:r>
              <w:t xml:space="preserve">Partiel : clips horodatés ; accès distant non précisé</w:t>
            </w:r>
          </w:p>
        </w:tc>
        <w:tc>
          <w:tcPr>
            <w:tcW w:w="1133" w:type="dxa"/>
          </w:tcPr>
          <w:p>
            <w:pPr/>
            <w:r>
              <w:t xml:space="preserve">Non précisé</w:t>
            </w:r>
          </w:p>
        </w:tc>
      </w:tr>
    </w:tbl>
    <w:p>
      <w:pPr/>
      <w:r>
        <w:rPr>
          <w:b/>
        </w:rPr>
        <w:t xml:space="preserve">3. État de l'art</w:t>
      </w:r>
    </w:p>
    <w:p>
      <w:pPr/>
      <w:r>
        <w:t xml:space="preserve">Les travaux récents sur la détection automatique en vidéosurveillance reposent surtout sur l'apprentissage profond, dont les méthodes se distinguent par le type de supervision et par les jeux de données employés (Choudhry et al., 2023 ; Duong et al., 2023 ; Şengönül et al., 2023). Pour la détection en temps réel, les détecteurs à une seule passe (YOLO, SSD, EfficientDet) sont privilégiés pour leur rapidité (Alqahtani et al., 2024), et Zhou et al. (2021) en combinent deux pour détecter plusieurs cibles. Ces méthodes exigent toutefois beaucoup de données d'entraînement (Duong et al., 2023), et aucune solution ne gère encore bien, en temps réel, de gros volumes et des anomalies très variées (Duja et al., 2024). Reste à savoir ce que ces modèles deviennent sur du matériel modeste.</w:t>
      </w:r>
    </w:p>
    <w:p>
      <w:pPr/>
      <w:r>
        <w:t xml:space="preserve">Pour y répondre, plusieurs travaux déplacent le calcul vers la périphérie, afin de réduire la dépendance à un cloud dont la connectivité est parfois limitée (Chen et al., 2022). Chen et al. (2022) et Zhou et al. (2021) convergent vers une architecture où l'apprentissage se fait dans le cloud et l'inférence sur les appareils de périphérie, tandis que Nithiyaraj et Sooriyaarachchi (2025) montrent qu'un Raspberry Pi 5 peut moderniser des caméras CCTV existantes en associant détection de mouvement et YOLOv8. Le revers est le coût : Alqahtani et al. (2024) observent, sur Raspberry Pi et Jetson Orin Nano, que les modèles les plus précis (YOLOv8 medium) sont aussi les plus lents et les plus énergivores, alors que des modèles moins précis comme SSD MobileNet V1 sont plus rapides et plus sobres. Ces mesures portent toutefois sur des images traitées comme requêtes d'un service web, non sur une chaîne complète jusqu'à l'alerte.</w:t>
      </w:r>
    </w:p>
    <w:p>
      <w:pPr/>
      <w:r>
        <w:t xml:space="preserve">La supervision à distance et la protection de la vie privée sont traitées plus rarement, et séparément des performances. Nithiyaraj et Sooriyaarachchi (2025) enregistrent des clips horodatés pour éviter de stocker des flux entiers, mais les travaux consultés détaillent peu l'accès depuis un smartphone ou la sécurisation de cet accès. La vie privée est abordée à part : Wang et al. (2024) analysent les enjeux éthiques et juridiques de la reconnaissance faciale, et Hasan et al. (2023) recensent les techniques de masquage de l'identité des visages.</w:t>
      </w:r>
    </w:p>
    <w:p>
      <w:pPr/>
      <w:r>
        <w:rPr>
          <w:b/>
        </w:rPr>
        <w:t xml:space="preserve">4. Paragraphe de lacune</w:t>
      </w:r>
    </w:p>
    <w:p>
      <w:pPr/>
      <w:r>
        <w:t xml:space="preserve">La matrice montre que chaque source couvre un maillon de la chaîne sans la traiter en entier. Alqahtani et al. (2024) mesurent précision, temps d'inférence et énergie, mais sur des images traitées comme requêtes, sans supervision distante. Chen et al. (2022) décrivent le déploiement edge-cloud, sans que leur résumé rapporte un compromis précision–énergie sur matériel modeste. Nithiyaraj et Sooriyaarachchi (2025) fournissent un prototype sur Raspberry Pi 5 dont le résumé ne mentionne ni mesure de latence ni sécurisation de l'accès. La lacune est donc d'évaluation : aucune source consultée ne mesure conjointement précision, latence de bout en bout de l'alerte et surcoût du chiffrement sur un même dispositif. D'où la question retenue : quelles configurations de détecteur léger sur Raspberry Pi 5 conservent la précision tout en livrant l'alerte au smartphone en 1 s ou moins par un canal chiffré ?</w:t>
      </w:r>
    </w:p>
    <w:p>
      <w:pPr/>
      <w:r>
        <w:rPr>
          <w:b/>
        </w:rPr>
        <w:t xml:space="preserve">5. Références (APA 7e)</w:t>
      </w:r>
    </w:p>
    <w:p>
      <w:pPr>
        <w:pStyle w:val="ListParagraph"/>
        <w:numPr>
          <w:ilvl w:val="0"/>
          <w:numId w:val="7"/>
        </w:numPr>
      </w:pPr>
      <w:r>
        <w:t xml:space="preserve">Alqahtani, D. K., Cheema, A., &amp; Toosi, A. N. (2024). </w:t>
      </w:r>
      <w:r>
        <w:rPr>
          <w:i/>
        </w:rPr>
        <w:t xml:space="preserve">Benchmarking deep learning models for object detection on edge computing devices</w:t>
      </w:r>
      <w:r>
        <w:t xml:space="preserve">. arXiv. https://doi.org/10.48550/arXiv.2409.16808</w:t>
      </w:r>
    </w:p>
    <w:p>
      <w:pPr>
        <w:pStyle w:val="ListParagraph"/>
        <w:numPr>
          <w:ilvl w:val="0"/>
          <w:numId w:val="7"/>
        </w:numPr>
      </w:pPr>
      <w:r>
        <w:t xml:space="preserve">Chen, Y.-Y., Lin, Y.-H., Hu, Y.-C., Hsia, C.-H., Lian, Y.-A., &amp; Jhong, S.-Y. (2022). Distributed real-time object detection based on edge-cloud collaboration for smart video surveillance applications. </w:t>
      </w:r>
      <w:r>
        <w:rPr>
          <w:i/>
        </w:rPr>
        <w:t xml:space="preserve">IEEE Access, 10</w:t>
      </w:r>
      <w:r>
        <w:t xml:space="preserve">, 93745–93759. https://doi.org/10.1109/ACCESS.2022.3203053</w:t>
      </w:r>
    </w:p>
    <w:p>
      <w:pPr>
        <w:pStyle w:val="ListParagraph"/>
        <w:numPr>
          <w:ilvl w:val="0"/>
          <w:numId w:val="7"/>
        </w:numPr>
      </w:pPr>
      <w:r>
        <w:t xml:space="preserve">Choudhry, N., Abawajy, J., Huda, S., &amp; Rao, I. (2023). A comprehensive survey of machine learning methods for surveillance videos anomaly detection. </w:t>
      </w:r>
      <w:r>
        <w:rPr>
          <w:i/>
        </w:rPr>
        <w:t xml:space="preserve">IEEE Access, 11</w:t>
      </w:r>
      <w:r>
        <w:t xml:space="preserve">. https://doi.org/10.1109/ACCESS.2023.3321800</w:t>
      </w:r>
    </w:p>
    <w:p>
      <w:pPr>
        <w:pStyle w:val="ListParagraph"/>
        <w:numPr>
          <w:ilvl w:val="0"/>
          <w:numId w:val="7"/>
        </w:numPr>
      </w:pPr>
      <w:r>
        <w:t xml:space="preserve">Duja, K. U., Khan, I. A., &amp; Alsuhaibani, M. (2024). Video surveillance anomaly detection: A review on deep learning benchmarks. </w:t>
      </w:r>
      <w:r>
        <w:rPr>
          <w:i/>
        </w:rPr>
        <w:t xml:space="preserve">IEEE Access, 12</w:t>
      </w:r>
      <w:r>
        <w:t xml:space="preserve">. https://doi.org/10.1109/ACCESS.2024.3491868</w:t>
      </w:r>
    </w:p>
    <w:p>
      <w:pPr>
        <w:pStyle w:val="ListParagraph"/>
        <w:numPr>
          <w:ilvl w:val="0"/>
          <w:numId w:val="7"/>
        </w:numPr>
      </w:pPr>
      <w:r>
        <w:t xml:space="preserve">Duong, H.-T., Le, V.-T., &amp; Hoang, V. T. (2023). Deep learning-based anomaly detection in video surveillance: A survey. </w:t>
      </w:r>
      <w:r>
        <w:rPr>
          <w:i/>
        </w:rPr>
        <w:t xml:space="preserve">Sensors, 23</w:t>
      </w:r>
      <w:r>
        <w:t xml:space="preserve">(11), Article 5024. https://doi.org/10.3390/s23115024</w:t>
      </w:r>
    </w:p>
    <w:p>
      <w:pPr>
        <w:pStyle w:val="ListParagraph"/>
        <w:numPr>
          <w:ilvl w:val="0"/>
          <w:numId w:val="7"/>
        </w:numPr>
      </w:pPr>
      <w:r>
        <w:t xml:space="preserve">Hasan, M. R., Guest, R. M., &amp; Deravi, F. (2023). Presentation-level privacy protection techniques for automated face recognition: A survey. </w:t>
      </w:r>
      <w:r>
        <w:rPr>
          <w:i/>
        </w:rPr>
        <w:t xml:space="preserve">ACM Computing Surveys, 56</w:t>
      </w:r>
      <w:r>
        <w:t xml:space="preserve">(13s), Article 286. https://doi.org/10.1145/3583135</w:t>
      </w:r>
    </w:p>
    <w:p>
      <w:pPr>
        <w:pStyle w:val="ListParagraph"/>
        <w:numPr>
          <w:ilvl w:val="0"/>
          <w:numId w:val="7"/>
        </w:numPr>
      </w:pPr>
      <w:r>
        <w:t xml:space="preserve">Nithiyaraj, V., &amp; Sooriyaarachchi, S. J. (2025). </w:t>
      </w:r>
      <w:r>
        <w:rPr>
          <w:i/>
        </w:rPr>
        <w:t xml:space="preserve">CCTVIntelliGuard: An intelligent edge-based human motion detection and alerting system for CCTV surveillance</w:t>
      </w:r>
      <w:r>
        <w:t xml:space="preserve">. Engineering Research Unit, University of Moratuwa. https://dl.lib.uom.lk/handle/123/25110</w:t>
      </w:r>
    </w:p>
    <w:p>
      <w:pPr>
        <w:pStyle w:val="ListParagraph"/>
        <w:numPr>
          <w:ilvl w:val="0"/>
          <w:numId w:val="7"/>
        </w:numPr>
      </w:pPr>
      <w:r>
        <w:t xml:space="preserve">Şengönül, E., Samet, R., Abu Al-Haija, Q., Alqahtani, A., Alturki, B., &amp; Alsulami, A. A. (2023). An analysis of artificial intelligence techniques in surveillance video anomaly detection: A comprehensive survey. </w:t>
      </w:r>
      <w:r>
        <w:rPr>
          <w:i/>
        </w:rPr>
        <w:t xml:space="preserve">Applied Sciences, 13</w:t>
      </w:r>
      <w:r>
        <w:t xml:space="preserve">(8), Article 4956. https://doi.org/10.3390/app13084956</w:t>
      </w:r>
    </w:p>
    <w:p>
      <w:pPr>
        <w:pStyle w:val="ListParagraph"/>
        <w:numPr>
          <w:ilvl w:val="0"/>
          <w:numId w:val="7"/>
        </w:numPr>
      </w:pPr>
      <w:r>
        <w:t xml:space="preserve">Wang, X., Wu, Y. C., Zhou, M., &amp; Fu, H. (2024). Beyond surveillance: Privacy, ethics, and regulations in face recognition technology. </w:t>
      </w:r>
      <w:r>
        <w:rPr>
          <w:i/>
        </w:rPr>
        <w:t xml:space="preserve">Frontiers in Big Data, 7</w:t>
      </w:r>
      <w:r>
        <w:t xml:space="preserve">, Article 1337465. https://doi.org/10.3389/fdata.2024.1337465</w:t>
      </w:r>
    </w:p>
    <w:p>
      <w:pPr>
        <w:pStyle w:val="ListParagraph"/>
        <w:numPr>
          <w:ilvl w:val="0"/>
          <w:numId w:val="7"/>
        </w:numPr>
      </w:pPr>
      <w:r>
        <w:t xml:space="preserve">Zhou, X., Xu, X., Liang, W., Zeng, Z., &amp; Yan, Z. (2021). Deep learning enhanced multi-target detection for end-edge-cloud surveillance in smart IoT. </w:t>
      </w:r>
      <w:r>
        <w:rPr>
          <w:i/>
        </w:rPr>
        <w:t xml:space="preserve">IEEE Internet of Things Journal, 8</w:t>
      </w:r>
      <w:r>
        <w:t xml:space="preserve">(16), 12588–12596. https://doi.org/10.1109/JIOT.2021.3077449</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Évaluation INSI 511 – Vidéosurveillance intelligente</dc:title>
  <dc:description>Claude Docs node/9bb58b62-46ce@4 docx-w7</dc:description>
  <cp:revision>4</cp:revision>
</cp:coreProperties>
</file>