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7A2F" w14:textId="77777777" w:rsidR="003F67E6" w:rsidRPr="003F67E6" w:rsidRDefault="003F67E6" w:rsidP="003F67E6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3F67E6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5. Políticas de Seguridad</w:t>
      </w:r>
    </w:p>
    <w:p w14:paraId="6B5A2A53" w14:textId="77777777" w:rsidR="003F67E6" w:rsidRPr="003F67E6" w:rsidRDefault="003F67E6" w:rsidP="003F67E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5.1 Política de Seguridad de la Información</w:t>
      </w:r>
    </w:p>
    <w:p w14:paraId="7D169667" w14:textId="77777777" w:rsidR="003F67E6" w:rsidRPr="003F67E6" w:rsidRDefault="003F67E6" w:rsidP="003F67E6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3F67E6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3F67E6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3F67E6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3F67E6">
        <w:rPr>
          <w:rFonts w:ascii="Aptos" w:eastAsia="Times New Roman" w:hAnsi="Aptos" w:cs="Times New Roman"/>
          <w:kern w:val="0"/>
          <w14:ligatures w14:val="none"/>
        </w:rPr>
        <w:t xml:space="preserve"> se compromete a proteger la confidencialidad, integridad y disponibilidad de la información de sus clientes, empleados y organización. La dirección general respalda el SGSI y exige su cumplimiento en todos los niveles organizacionales. Esta política aplica a todos los empleados, contratistas y terceros con acceso a los sistemas o información de la empresa.</w:t>
      </w:r>
    </w:p>
    <w:p w14:paraId="6694EF1E" w14:textId="77777777" w:rsidR="003F67E6" w:rsidRPr="003F67E6" w:rsidRDefault="003F67E6" w:rsidP="003F67E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5.2 Política de Control de </w:t>
      </w:r>
      <w:proofErr w:type="spellStart"/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Accesos</w:t>
      </w:r>
      <w:proofErr w:type="spellEnd"/>
    </w:p>
    <w:p w14:paraId="7AA63BEB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El acceso a los sistemas debe concederse bajo el principio de mínimo privilegio.</w:t>
      </w:r>
    </w:p>
    <w:p w14:paraId="5655A766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Todo acceso debe estar autorizado formalmente por el jefe del área correspondiente.</w:t>
      </w:r>
    </w:p>
    <w:p w14:paraId="2F03C5CE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Las contraseñas deben tener al menos 10 caracteres, combinando letras, números y símbolos.</w:t>
      </w:r>
    </w:p>
    <w:p w14:paraId="3EC829D5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Se prohíbe compartir credenciales de acceso entre empleados.</w:t>
      </w:r>
    </w:p>
    <w:p w14:paraId="1FF99A7C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Los accesos de empleados que dejen la empresa deben revocarse en un plazo máximo de 24 horas.</w:t>
      </w:r>
    </w:p>
    <w:p w14:paraId="45A8532D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Se debe implementar autenticación de dos factores para accesos a sistemas críticos.</w:t>
      </w:r>
    </w:p>
    <w:p w14:paraId="658BADCD" w14:textId="77777777" w:rsidR="003F67E6" w:rsidRPr="003F67E6" w:rsidRDefault="003F67E6" w:rsidP="003F67E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5.3 Política de Uso </w:t>
      </w:r>
      <w:proofErr w:type="spellStart"/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Aceptable</w:t>
      </w:r>
      <w:proofErr w:type="spellEnd"/>
    </w:p>
    <w:p w14:paraId="3A97841D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 xml:space="preserve">Los equipos y sistemas de </w:t>
      </w:r>
      <w:proofErr w:type="spellStart"/>
      <w:r w:rsidRPr="003F67E6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3F67E6">
        <w:rPr>
          <w:rFonts w:ascii="Aptos" w:eastAsia="Times New Roman" w:hAnsi="Aptos" w:cs="Times New Roman"/>
          <w:kern w:val="0"/>
          <w14:ligatures w14:val="none"/>
        </w:rPr>
        <w:t xml:space="preserve"> deben usarse exclusivamente para actividades laborales.</w:t>
      </w:r>
    </w:p>
    <w:p w14:paraId="61B422ED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Queda prohibida la instalación de software no autorizado en equipos de la empresa.</w:t>
      </w:r>
    </w:p>
    <w:p w14:paraId="56ACC87F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La información confidencial no debe enviarse por canales no cifrados.</w:t>
      </w:r>
    </w:p>
    <w:p w14:paraId="3D948747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El uso de dispositivos de almacenamiento externos debe ser autorizado por TI.</w:t>
      </w:r>
    </w:p>
    <w:p w14:paraId="06169227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 xml:space="preserve">Está prohibido acceder a sistemas de la empresa desde redes </w:t>
      </w:r>
      <w:proofErr w:type="spellStart"/>
      <w:r w:rsidRPr="003F67E6">
        <w:rPr>
          <w:rFonts w:ascii="Aptos" w:eastAsia="Times New Roman" w:hAnsi="Aptos" w:cs="Times New Roman"/>
          <w:kern w:val="0"/>
          <w14:ligatures w14:val="none"/>
        </w:rPr>
        <w:t>Wi</w:t>
      </w:r>
      <w:proofErr w:type="spellEnd"/>
      <w:r w:rsidRPr="003F67E6">
        <w:rPr>
          <w:rFonts w:ascii="Aptos" w:eastAsia="Times New Roman" w:hAnsi="Aptos" w:cs="Times New Roman"/>
          <w:kern w:val="0"/>
          <w14:ligatures w14:val="none"/>
        </w:rPr>
        <w:t>-Fi públicas sin VPN.</w:t>
      </w:r>
    </w:p>
    <w:p w14:paraId="2AF1901A" w14:textId="77777777" w:rsidR="003F67E6" w:rsidRPr="003F67E6" w:rsidRDefault="003F67E6" w:rsidP="003F67E6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5.4 Política de </w:t>
      </w:r>
      <w:proofErr w:type="spellStart"/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Gestión</w:t>
      </w:r>
      <w:proofErr w:type="spellEnd"/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de </w:t>
      </w:r>
      <w:proofErr w:type="spellStart"/>
      <w:r w:rsidRPr="003F67E6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Incidentes</w:t>
      </w:r>
      <w:proofErr w:type="spellEnd"/>
    </w:p>
    <w:p w14:paraId="1031F630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Todo empleado que detecte un incidente de seguridad debe reportarlo de inmediato al equipo de TI.</w:t>
      </w:r>
    </w:p>
    <w:p w14:paraId="67BE4083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El equipo de respuesta a incidentes debe iniciar la investigación en un plazo máximo de 2 horas.</w:t>
      </w:r>
    </w:p>
    <w:p w14:paraId="08BDE0D2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Los incidentes que involucren datos personales deben notificarse al Oficial de Privacidad.</w:t>
      </w:r>
    </w:p>
    <w:p w14:paraId="77669C19" w14:textId="77777777" w:rsidR="003F67E6" w:rsidRPr="003F67E6" w:rsidRDefault="003F67E6" w:rsidP="003F67E6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3F67E6">
        <w:rPr>
          <w:rFonts w:ascii="Aptos" w:eastAsia="Times New Roman" w:hAnsi="Aptos" w:cs="Times New Roman"/>
          <w:kern w:val="0"/>
          <w14:ligatures w14:val="none"/>
        </w:rPr>
        <w:t>Se debe mantener un registro de todos los incidentes y las acciones tomadas.</w:t>
      </w:r>
    </w:p>
    <w:p w14:paraId="35CC090C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E6"/>
    <w:rsid w:val="000F29A3"/>
    <w:rsid w:val="003F67E6"/>
    <w:rsid w:val="009D1A50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F24E"/>
  <w15:chartTrackingRefBased/>
  <w15:docId w15:val="{ADC3F4D3-091A-498A-81FC-5CAA88CC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2026-04-29T07:35:00Z</dcterms:created>
  <dcterms:modified xsi:type="dcterms:W3CDTF">2026-04-29T07:35:00Z</dcterms:modified>
</cp:coreProperties>
</file>