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D78" w:rsidRDefault="000804D5" w:rsidP="008328B3">
      <w:pPr>
        <w:pStyle w:val="Title"/>
      </w:pPr>
      <w:r>
        <w:t>Ticketing System Resource Request</w:t>
      </w:r>
    </w:p>
    <w:p w:rsidR="008328B3" w:rsidRDefault="008328B3">
      <w:pPr>
        <w:rPr>
          <w:rFonts w:ascii="Arial" w:hAnsi="Arial" w:cs="Arial"/>
        </w:rPr>
      </w:pPr>
    </w:p>
    <w:p w:rsidR="00A42420" w:rsidRDefault="00A42420">
      <w:pPr>
        <w:rPr>
          <w:rFonts w:ascii="Arial" w:hAnsi="Arial" w:cs="Arial"/>
        </w:rPr>
      </w:pPr>
      <w:r>
        <w:rPr>
          <w:rFonts w:ascii="Arial" w:hAnsi="Arial" w:cs="Arial"/>
        </w:rPr>
        <w:t>When running on a single server, RT tends to run into a lot of troubles. Because of this we suggest using two separate servers to work together, a database and a webserver.</w:t>
      </w:r>
    </w:p>
    <w:p w:rsidR="008328B3" w:rsidRDefault="008328B3" w:rsidP="008328B3">
      <w:pPr>
        <w:pStyle w:val="Heading1"/>
      </w:pPr>
      <w:r>
        <w:t>Dat</w:t>
      </w:r>
      <w:r w:rsidR="00541DD0">
        <w:t>a</w:t>
      </w:r>
      <w:r>
        <w:t>base</w:t>
      </w:r>
    </w:p>
    <w:p w:rsidR="000804D5" w:rsidRDefault="000804D5">
      <w:pPr>
        <w:rPr>
          <w:rFonts w:ascii="Arial" w:hAnsi="Arial" w:cs="Arial"/>
        </w:rPr>
      </w:pPr>
      <w:r>
        <w:rPr>
          <w:rFonts w:ascii="Arial" w:hAnsi="Arial" w:cs="Arial"/>
        </w:rPr>
        <w:t xml:space="preserve">Resource Tracker (RT) </w:t>
      </w:r>
      <w:proofErr w:type="gramStart"/>
      <w:r>
        <w:rPr>
          <w:rFonts w:ascii="Arial" w:hAnsi="Arial" w:cs="Arial"/>
        </w:rPr>
        <w:t>is able to</w:t>
      </w:r>
      <w:proofErr w:type="gramEnd"/>
      <w:r>
        <w:rPr>
          <w:rFonts w:ascii="Arial" w:hAnsi="Arial" w:cs="Arial"/>
        </w:rPr>
        <w:t xml:space="preserve"> be run through five database types, MySQL, MariaDB, PostgreSQL, Oracle and SQLite. For the purposes of this report, we will be ignoring </w:t>
      </w:r>
      <w:r w:rsidR="009D31BE">
        <w:rPr>
          <w:rFonts w:ascii="Arial" w:hAnsi="Arial" w:cs="Arial"/>
        </w:rPr>
        <w:t xml:space="preserve">Oracle and SQLite as these are database servers that are not officially supported through the Azure service. </w:t>
      </w:r>
      <w:r w:rsidR="008328B3">
        <w:rPr>
          <w:rFonts w:ascii="Arial" w:hAnsi="Arial" w:cs="Arial"/>
        </w:rPr>
        <w:t xml:space="preserve">As PostgreSQL is something that none of us working on the project have experience with, we will also be ignoring it for this. </w:t>
      </w:r>
    </w:p>
    <w:tbl>
      <w:tblPr>
        <w:tblStyle w:val="TableGrid"/>
        <w:tblpPr w:leftFromText="180" w:rightFromText="180" w:vertAnchor="text" w:horzAnchor="margin" w:tblpXSpec="center" w:tblpY="311"/>
        <w:tblW w:w="0" w:type="auto"/>
        <w:tblLook w:val="04A0" w:firstRow="1" w:lastRow="0" w:firstColumn="1" w:lastColumn="0" w:noHBand="0" w:noVBand="1"/>
      </w:tblPr>
      <w:tblGrid>
        <w:gridCol w:w="1415"/>
        <w:gridCol w:w="1273"/>
        <w:gridCol w:w="1272"/>
        <w:gridCol w:w="1564"/>
        <w:gridCol w:w="1701"/>
      </w:tblGrid>
      <w:tr w:rsidR="008328B3" w:rsidRPr="004F0627" w:rsidTr="008328B3">
        <w:tc>
          <w:tcPr>
            <w:tcW w:w="1415" w:type="dxa"/>
          </w:tcPr>
          <w:p w:rsidR="008328B3" w:rsidRPr="004F0627" w:rsidRDefault="008328B3" w:rsidP="008328B3">
            <w:pPr>
              <w:rPr>
                <w:rFonts w:ascii="Arial" w:hAnsi="Arial" w:cs="Arial"/>
              </w:rPr>
            </w:pPr>
          </w:p>
        </w:tc>
        <w:tc>
          <w:tcPr>
            <w:tcW w:w="1273" w:type="dxa"/>
          </w:tcPr>
          <w:p w:rsidR="008328B3" w:rsidRPr="004F0627" w:rsidRDefault="008328B3" w:rsidP="008328B3">
            <w:pPr>
              <w:rPr>
                <w:rFonts w:ascii="Arial" w:hAnsi="Arial" w:cs="Arial"/>
              </w:rPr>
            </w:pPr>
            <w:r w:rsidRPr="004F0627">
              <w:rPr>
                <w:rFonts w:ascii="Arial" w:hAnsi="Arial" w:cs="Arial"/>
              </w:rPr>
              <w:t>Memory</w:t>
            </w:r>
          </w:p>
        </w:tc>
        <w:tc>
          <w:tcPr>
            <w:tcW w:w="1272" w:type="dxa"/>
          </w:tcPr>
          <w:p w:rsidR="008328B3" w:rsidRPr="004F0627" w:rsidRDefault="008328B3" w:rsidP="008328B3">
            <w:pPr>
              <w:rPr>
                <w:rFonts w:ascii="Arial" w:hAnsi="Arial" w:cs="Arial"/>
              </w:rPr>
            </w:pPr>
            <w:r w:rsidRPr="004F0627">
              <w:rPr>
                <w:rFonts w:ascii="Arial" w:hAnsi="Arial" w:cs="Arial"/>
              </w:rPr>
              <w:t>Storage</w:t>
            </w:r>
          </w:p>
        </w:tc>
        <w:tc>
          <w:tcPr>
            <w:tcW w:w="1564" w:type="dxa"/>
          </w:tcPr>
          <w:p w:rsidR="008328B3" w:rsidRPr="004F0627" w:rsidRDefault="008328B3" w:rsidP="008328B3">
            <w:pPr>
              <w:rPr>
                <w:rFonts w:ascii="Arial" w:hAnsi="Arial" w:cs="Arial"/>
              </w:rPr>
            </w:pPr>
            <w:r w:rsidRPr="004F0627">
              <w:rPr>
                <w:rFonts w:ascii="Arial" w:hAnsi="Arial" w:cs="Arial"/>
              </w:rPr>
              <w:t>Price Monthly</w:t>
            </w:r>
          </w:p>
        </w:tc>
        <w:tc>
          <w:tcPr>
            <w:tcW w:w="1701" w:type="dxa"/>
          </w:tcPr>
          <w:p w:rsidR="008328B3" w:rsidRPr="004F0627" w:rsidRDefault="008328B3" w:rsidP="008328B3">
            <w:pPr>
              <w:rPr>
                <w:rFonts w:ascii="Arial" w:hAnsi="Arial" w:cs="Arial"/>
              </w:rPr>
            </w:pPr>
            <w:r w:rsidRPr="004F0627">
              <w:rPr>
                <w:rFonts w:ascii="Arial" w:hAnsi="Arial" w:cs="Arial"/>
              </w:rPr>
              <w:t>Price Annually</w:t>
            </w:r>
          </w:p>
        </w:tc>
      </w:tr>
      <w:tr w:rsidR="008328B3" w:rsidRPr="004F0627" w:rsidTr="008328B3">
        <w:tc>
          <w:tcPr>
            <w:tcW w:w="1415" w:type="dxa"/>
          </w:tcPr>
          <w:p w:rsidR="008328B3" w:rsidRPr="004F0627" w:rsidRDefault="008328B3" w:rsidP="008328B3">
            <w:pPr>
              <w:rPr>
                <w:rFonts w:ascii="Arial" w:hAnsi="Arial" w:cs="Arial"/>
              </w:rPr>
            </w:pPr>
            <w:r w:rsidRPr="004F0627">
              <w:rPr>
                <w:rFonts w:ascii="Arial" w:hAnsi="Arial" w:cs="Arial"/>
              </w:rPr>
              <w:t>MariaDB</w:t>
            </w:r>
          </w:p>
        </w:tc>
        <w:tc>
          <w:tcPr>
            <w:tcW w:w="1273" w:type="dxa"/>
          </w:tcPr>
          <w:p w:rsidR="008328B3" w:rsidRPr="004F0627" w:rsidRDefault="008328B3" w:rsidP="008328B3">
            <w:pPr>
              <w:rPr>
                <w:rFonts w:ascii="Arial" w:hAnsi="Arial" w:cs="Arial"/>
              </w:rPr>
            </w:pPr>
            <w:r>
              <w:rPr>
                <w:rFonts w:ascii="Arial" w:hAnsi="Arial" w:cs="Arial"/>
              </w:rPr>
              <w:t>2gb</w:t>
            </w:r>
          </w:p>
        </w:tc>
        <w:tc>
          <w:tcPr>
            <w:tcW w:w="1272" w:type="dxa"/>
          </w:tcPr>
          <w:p w:rsidR="008328B3" w:rsidRPr="004F0627" w:rsidRDefault="008328B3" w:rsidP="008328B3">
            <w:pPr>
              <w:rPr>
                <w:rFonts w:ascii="Arial" w:hAnsi="Arial" w:cs="Arial"/>
              </w:rPr>
            </w:pPr>
            <w:r>
              <w:rPr>
                <w:rFonts w:ascii="Arial" w:hAnsi="Arial" w:cs="Arial"/>
              </w:rPr>
              <w:t>5gb</w:t>
            </w:r>
          </w:p>
        </w:tc>
        <w:tc>
          <w:tcPr>
            <w:tcW w:w="1564" w:type="dxa"/>
          </w:tcPr>
          <w:p w:rsidR="008328B3" w:rsidRPr="004F0627" w:rsidRDefault="008328B3" w:rsidP="008328B3">
            <w:pPr>
              <w:rPr>
                <w:rFonts w:ascii="Arial" w:hAnsi="Arial" w:cs="Arial"/>
              </w:rPr>
            </w:pPr>
            <w:r>
              <w:rPr>
                <w:rFonts w:ascii="Arial" w:hAnsi="Arial" w:cs="Arial"/>
              </w:rPr>
              <w:t>$35.96</w:t>
            </w:r>
          </w:p>
        </w:tc>
        <w:tc>
          <w:tcPr>
            <w:tcW w:w="1701" w:type="dxa"/>
          </w:tcPr>
          <w:p w:rsidR="008328B3" w:rsidRPr="004F0627" w:rsidRDefault="008328B3" w:rsidP="008328B3">
            <w:pPr>
              <w:rPr>
                <w:rFonts w:ascii="Arial" w:hAnsi="Arial" w:cs="Arial"/>
              </w:rPr>
            </w:pPr>
            <w:r>
              <w:rPr>
                <w:rFonts w:ascii="Arial" w:hAnsi="Arial" w:cs="Arial"/>
              </w:rPr>
              <w:t>$431.52</w:t>
            </w:r>
          </w:p>
        </w:tc>
      </w:tr>
      <w:tr w:rsidR="008328B3" w:rsidRPr="004F0627" w:rsidTr="008328B3">
        <w:tc>
          <w:tcPr>
            <w:tcW w:w="1415" w:type="dxa"/>
          </w:tcPr>
          <w:p w:rsidR="008328B3" w:rsidRPr="004F0627" w:rsidRDefault="008328B3" w:rsidP="008328B3">
            <w:pPr>
              <w:rPr>
                <w:rFonts w:ascii="Arial" w:hAnsi="Arial" w:cs="Arial"/>
              </w:rPr>
            </w:pPr>
            <w:r w:rsidRPr="004F0627">
              <w:rPr>
                <w:rFonts w:ascii="Arial" w:hAnsi="Arial" w:cs="Arial"/>
              </w:rPr>
              <w:t>MySQL</w:t>
            </w:r>
          </w:p>
        </w:tc>
        <w:tc>
          <w:tcPr>
            <w:tcW w:w="1273" w:type="dxa"/>
          </w:tcPr>
          <w:p w:rsidR="008328B3" w:rsidRPr="004F0627" w:rsidRDefault="008328B3" w:rsidP="008328B3">
            <w:pPr>
              <w:rPr>
                <w:rFonts w:ascii="Arial" w:hAnsi="Arial" w:cs="Arial"/>
              </w:rPr>
            </w:pPr>
            <w:r>
              <w:rPr>
                <w:rFonts w:ascii="Arial" w:hAnsi="Arial" w:cs="Arial"/>
              </w:rPr>
              <w:t>2gb</w:t>
            </w:r>
          </w:p>
        </w:tc>
        <w:tc>
          <w:tcPr>
            <w:tcW w:w="1272" w:type="dxa"/>
          </w:tcPr>
          <w:p w:rsidR="008328B3" w:rsidRPr="004F0627" w:rsidRDefault="008328B3" w:rsidP="008328B3">
            <w:pPr>
              <w:rPr>
                <w:rFonts w:ascii="Arial" w:hAnsi="Arial" w:cs="Arial"/>
              </w:rPr>
            </w:pPr>
            <w:r>
              <w:rPr>
                <w:rFonts w:ascii="Arial" w:hAnsi="Arial" w:cs="Arial"/>
              </w:rPr>
              <w:t>5gb</w:t>
            </w:r>
          </w:p>
        </w:tc>
        <w:tc>
          <w:tcPr>
            <w:tcW w:w="1564" w:type="dxa"/>
          </w:tcPr>
          <w:p w:rsidR="008328B3" w:rsidRPr="004F0627" w:rsidRDefault="008328B3" w:rsidP="008328B3">
            <w:pPr>
              <w:rPr>
                <w:rFonts w:ascii="Arial" w:hAnsi="Arial" w:cs="Arial"/>
              </w:rPr>
            </w:pPr>
            <w:r>
              <w:rPr>
                <w:rFonts w:ascii="Arial" w:hAnsi="Arial" w:cs="Arial"/>
              </w:rPr>
              <w:t>$35.96</w:t>
            </w:r>
          </w:p>
        </w:tc>
        <w:tc>
          <w:tcPr>
            <w:tcW w:w="1701" w:type="dxa"/>
          </w:tcPr>
          <w:p w:rsidR="008328B3" w:rsidRPr="004F0627" w:rsidRDefault="008328B3" w:rsidP="008328B3">
            <w:pPr>
              <w:rPr>
                <w:rFonts w:ascii="Arial" w:hAnsi="Arial" w:cs="Arial"/>
              </w:rPr>
            </w:pPr>
            <w:r>
              <w:rPr>
                <w:rFonts w:ascii="Arial" w:hAnsi="Arial" w:cs="Arial"/>
              </w:rPr>
              <w:t>$431.52</w:t>
            </w:r>
          </w:p>
        </w:tc>
      </w:tr>
    </w:tbl>
    <w:p w:rsidR="00E645FD" w:rsidRDefault="00E645FD">
      <w:pPr>
        <w:rPr>
          <w:rFonts w:ascii="Arial" w:hAnsi="Arial" w:cs="Arial"/>
        </w:rPr>
      </w:pPr>
    </w:p>
    <w:p w:rsidR="00E645FD" w:rsidRDefault="00E645FD">
      <w:pPr>
        <w:rPr>
          <w:rFonts w:ascii="Arial" w:hAnsi="Arial" w:cs="Arial"/>
        </w:rPr>
      </w:pPr>
    </w:p>
    <w:p w:rsidR="008328B3" w:rsidRDefault="008328B3">
      <w:pPr>
        <w:rPr>
          <w:rFonts w:ascii="Arial" w:hAnsi="Arial" w:cs="Arial"/>
        </w:rPr>
      </w:pPr>
    </w:p>
    <w:p w:rsidR="008328B3" w:rsidRDefault="008328B3">
      <w:pPr>
        <w:rPr>
          <w:rFonts w:ascii="Arial" w:hAnsi="Arial" w:cs="Arial"/>
        </w:rPr>
      </w:pPr>
    </w:p>
    <w:p w:rsidR="008328B3" w:rsidRDefault="008328B3">
      <w:pPr>
        <w:rPr>
          <w:rFonts w:ascii="Arial" w:hAnsi="Arial" w:cs="Arial"/>
        </w:rPr>
      </w:pPr>
      <w:r>
        <w:rPr>
          <w:rFonts w:ascii="Arial" w:hAnsi="Arial" w:cs="Arial"/>
        </w:rPr>
        <w:t xml:space="preserve">As MariaDB and MySQL both have the same pricing, we’re suggesting we go with MariaDB as it is the faster of the two services, is open source and already has several tutorials for instillation with RT created, something that is very useful for a novice group. This is putting our initial cost at </w:t>
      </w:r>
      <w:r w:rsidRPr="008328B3">
        <w:rPr>
          <w:rFonts w:ascii="Arial" w:hAnsi="Arial" w:cs="Arial"/>
          <w:b/>
          <w:bCs/>
        </w:rPr>
        <w:t>$35.96 NZD monthly</w:t>
      </w:r>
      <w:r>
        <w:rPr>
          <w:rFonts w:ascii="Arial" w:hAnsi="Arial" w:cs="Arial"/>
        </w:rPr>
        <w:t xml:space="preserve"> or </w:t>
      </w:r>
      <w:r w:rsidRPr="008328B3">
        <w:rPr>
          <w:rFonts w:ascii="Arial" w:hAnsi="Arial" w:cs="Arial"/>
          <w:b/>
          <w:bCs/>
        </w:rPr>
        <w:t>$431.52 NZD annually</w:t>
      </w:r>
      <w:r>
        <w:rPr>
          <w:rFonts w:ascii="Arial" w:hAnsi="Arial" w:cs="Arial"/>
        </w:rPr>
        <w:t>, for 2gb of memory and 5gb of storage. We expect we will not need to allocate additional memory or storage as we’re working with a very small group, however this can be scaled up in the future if required.</w:t>
      </w:r>
    </w:p>
    <w:p w:rsidR="008328B3" w:rsidRPr="00541DD0" w:rsidRDefault="00A42420" w:rsidP="00541DD0">
      <w:pPr>
        <w:pStyle w:val="Heading1"/>
      </w:pPr>
      <w:r w:rsidRPr="00541DD0">
        <w:t>Web Server</w:t>
      </w:r>
    </w:p>
    <w:p w:rsidR="00541DD0" w:rsidRDefault="00A42420">
      <w:pPr>
        <w:rPr>
          <w:rFonts w:ascii="Arial" w:hAnsi="Arial" w:cs="Arial"/>
        </w:rPr>
      </w:pPr>
      <w:r>
        <w:rPr>
          <w:rFonts w:ascii="Arial" w:hAnsi="Arial" w:cs="Arial"/>
        </w:rPr>
        <w:t xml:space="preserve">RT requires </w:t>
      </w:r>
      <w:proofErr w:type="spellStart"/>
      <w:r>
        <w:rPr>
          <w:rFonts w:ascii="Arial" w:hAnsi="Arial" w:cs="Arial"/>
        </w:rPr>
        <w:t>FastCGI</w:t>
      </w:r>
      <w:proofErr w:type="spellEnd"/>
      <w:r>
        <w:rPr>
          <w:rFonts w:ascii="Arial" w:hAnsi="Arial" w:cs="Arial"/>
        </w:rPr>
        <w:t xml:space="preserve"> support. Because of this, we will be running an Ubuntu VM with Apache installed. </w:t>
      </w:r>
      <w:r w:rsidR="0041562D">
        <w:rPr>
          <w:rFonts w:ascii="Arial" w:hAnsi="Arial" w:cs="Arial"/>
        </w:rPr>
        <w:t xml:space="preserve">A template can be found </w:t>
      </w:r>
      <w:hyperlink r:id="rId4" w:history="1">
        <w:r w:rsidR="0041562D" w:rsidRPr="0041562D">
          <w:rPr>
            <w:rStyle w:val="Hyperlink"/>
            <w:rFonts w:ascii="Arial" w:hAnsi="Arial" w:cs="Arial"/>
          </w:rPr>
          <w:t>here</w:t>
        </w:r>
      </w:hyperlink>
      <w:r w:rsidR="0041562D">
        <w:rPr>
          <w:rFonts w:ascii="Arial" w:hAnsi="Arial" w:cs="Arial"/>
        </w:rPr>
        <w:t xml:space="preserve">. </w:t>
      </w:r>
      <w:r>
        <w:rPr>
          <w:rFonts w:ascii="Arial" w:hAnsi="Arial" w:cs="Arial"/>
        </w:rPr>
        <w:t xml:space="preserve">Going through old documentation for RT informed us that we will require </w:t>
      </w:r>
      <w:r w:rsidR="00541DD0">
        <w:rPr>
          <w:rFonts w:ascii="Arial" w:hAnsi="Arial" w:cs="Arial"/>
        </w:rPr>
        <w:t>under</w:t>
      </w:r>
      <w:r>
        <w:rPr>
          <w:rFonts w:ascii="Arial" w:hAnsi="Arial" w:cs="Arial"/>
        </w:rPr>
        <w:t xml:space="preserve"> 2GB RAM and 4GB disk space. </w:t>
      </w:r>
      <w:r w:rsidR="00541DD0">
        <w:rPr>
          <w:rFonts w:ascii="Arial" w:hAnsi="Arial" w:cs="Arial"/>
        </w:rPr>
        <w:t>Due to these low requirements, we’re able to go with a B1MS Ubuntu VM which comes with 2GB RAM and 4GB storage.</w:t>
      </w:r>
    </w:p>
    <w:tbl>
      <w:tblPr>
        <w:tblStyle w:val="TableGrid"/>
        <w:tblW w:w="0" w:type="auto"/>
        <w:tblInd w:w="1315" w:type="dxa"/>
        <w:tblLook w:val="04A0" w:firstRow="1" w:lastRow="0" w:firstColumn="1" w:lastColumn="0" w:noHBand="0" w:noVBand="1"/>
      </w:tblPr>
      <w:tblGrid>
        <w:gridCol w:w="2254"/>
        <w:gridCol w:w="1622"/>
        <w:gridCol w:w="1701"/>
      </w:tblGrid>
      <w:tr w:rsidR="00541DD0" w:rsidTr="00541DD0">
        <w:tc>
          <w:tcPr>
            <w:tcW w:w="2254" w:type="dxa"/>
          </w:tcPr>
          <w:p w:rsidR="00541DD0" w:rsidRDefault="00541DD0">
            <w:pPr>
              <w:rPr>
                <w:rFonts w:ascii="Arial" w:hAnsi="Arial" w:cs="Arial"/>
              </w:rPr>
            </w:pPr>
          </w:p>
        </w:tc>
        <w:tc>
          <w:tcPr>
            <w:tcW w:w="1622" w:type="dxa"/>
          </w:tcPr>
          <w:p w:rsidR="00541DD0" w:rsidRDefault="00541DD0">
            <w:pPr>
              <w:rPr>
                <w:rFonts w:ascii="Arial" w:hAnsi="Arial" w:cs="Arial"/>
              </w:rPr>
            </w:pPr>
            <w:r>
              <w:rPr>
                <w:rFonts w:ascii="Arial" w:hAnsi="Arial" w:cs="Arial"/>
              </w:rPr>
              <w:t>Price Monthly</w:t>
            </w:r>
          </w:p>
        </w:tc>
        <w:tc>
          <w:tcPr>
            <w:tcW w:w="1701" w:type="dxa"/>
          </w:tcPr>
          <w:p w:rsidR="00541DD0" w:rsidRDefault="00541DD0">
            <w:pPr>
              <w:rPr>
                <w:rFonts w:ascii="Arial" w:hAnsi="Arial" w:cs="Arial"/>
              </w:rPr>
            </w:pPr>
            <w:r>
              <w:rPr>
                <w:rFonts w:ascii="Arial" w:hAnsi="Arial" w:cs="Arial"/>
              </w:rPr>
              <w:t>Price Annually</w:t>
            </w:r>
          </w:p>
        </w:tc>
      </w:tr>
      <w:tr w:rsidR="00541DD0" w:rsidTr="00541DD0">
        <w:tc>
          <w:tcPr>
            <w:tcW w:w="2254" w:type="dxa"/>
          </w:tcPr>
          <w:p w:rsidR="00541DD0" w:rsidRDefault="00541DD0">
            <w:pPr>
              <w:rPr>
                <w:rFonts w:ascii="Arial" w:hAnsi="Arial" w:cs="Arial"/>
              </w:rPr>
            </w:pPr>
            <w:r>
              <w:rPr>
                <w:rFonts w:ascii="Arial" w:hAnsi="Arial" w:cs="Arial"/>
              </w:rPr>
              <w:t>No Reserve</w:t>
            </w:r>
          </w:p>
        </w:tc>
        <w:tc>
          <w:tcPr>
            <w:tcW w:w="1622" w:type="dxa"/>
          </w:tcPr>
          <w:p w:rsidR="00541DD0" w:rsidRDefault="00541DD0" w:rsidP="00541DD0">
            <w:pPr>
              <w:rPr>
                <w:rFonts w:ascii="Arial" w:hAnsi="Arial" w:cs="Arial"/>
              </w:rPr>
            </w:pPr>
            <w:r>
              <w:rPr>
                <w:rFonts w:ascii="Arial" w:hAnsi="Arial" w:cs="Arial"/>
              </w:rPr>
              <w:t>$15.11</w:t>
            </w:r>
          </w:p>
        </w:tc>
        <w:tc>
          <w:tcPr>
            <w:tcW w:w="1701" w:type="dxa"/>
          </w:tcPr>
          <w:p w:rsidR="00541DD0" w:rsidRDefault="00541DD0">
            <w:pPr>
              <w:rPr>
                <w:rFonts w:ascii="Arial" w:hAnsi="Arial" w:cs="Arial"/>
              </w:rPr>
            </w:pPr>
            <w:r>
              <w:rPr>
                <w:rFonts w:ascii="Arial" w:hAnsi="Arial" w:cs="Arial"/>
              </w:rPr>
              <w:t>$181.33</w:t>
            </w:r>
          </w:p>
        </w:tc>
      </w:tr>
      <w:tr w:rsidR="00541DD0" w:rsidTr="00541DD0">
        <w:tc>
          <w:tcPr>
            <w:tcW w:w="2254" w:type="dxa"/>
          </w:tcPr>
          <w:p w:rsidR="00541DD0" w:rsidRDefault="00541DD0">
            <w:pPr>
              <w:rPr>
                <w:rFonts w:ascii="Arial" w:hAnsi="Arial" w:cs="Arial"/>
              </w:rPr>
            </w:pPr>
            <w:r>
              <w:rPr>
                <w:rFonts w:ascii="Arial" w:hAnsi="Arial" w:cs="Arial"/>
              </w:rPr>
              <w:t>1 Year Reserve</w:t>
            </w:r>
          </w:p>
        </w:tc>
        <w:tc>
          <w:tcPr>
            <w:tcW w:w="1622" w:type="dxa"/>
          </w:tcPr>
          <w:p w:rsidR="00541DD0" w:rsidRDefault="00541DD0">
            <w:pPr>
              <w:rPr>
                <w:rFonts w:ascii="Arial" w:hAnsi="Arial" w:cs="Arial"/>
              </w:rPr>
            </w:pPr>
            <w:r>
              <w:rPr>
                <w:rFonts w:ascii="Arial" w:hAnsi="Arial" w:cs="Arial"/>
              </w:rPr>
              <w:t>$8.98</w:t>
            </w:r>
          </w:p>
        </w:tc>
        <w:tc>
          <w:tcPr>
            <w:tcW w:w="1701" w:type="dxa"/>
          </w:tcPr>
          <w:p w:rsidR="00541DD0" w:rsidRDefault="00541DD0">
            <w:pPr>
              <w:rPr>
                <w:rFonts w:ascii="Arial" w:hAnsi="Arial" w:cs="Arial"/>
              </w:rPr>
            </w:pPr>
            <w:r>
              <w:rPr>
                <w:rFonts w:ascii="Arial" w:hAnsi="Arial" w:cs="Arial"/>
              </w:rPr>
              <w:t>$107.49</w:t>
            </w:r>
          </w:p>
        </w:tc>
      </w:tr>
      <w:tr w:rsidR="00541DD0" w:rsidTr="00541DD0">
        <w:tc>
          <w:tcPr>
            <w:tcW w:w="2254" w:type="dxa"/>
          </w:tcPr>
          <w:p w:rsidR="00541DD0" w:rsidRDefault="00541DD0">
            <w:pPr>
              <w:rPr>
                <w:rFonts w:ascii="Arial" w:hAnsi="Arial" w:cs="Arial"/>
              </w:rPr>
            </w:pPr>
            <w:r>
              <w:rPr>
                <w:rFonts w:ascii="Arial" w:hAnsi="Arial" w:cs="Arial"/>
              </w:rPr>
              <w:t>3 Year Reserve</w:t>
            </w:r>
          </w:p>
        </w:tc>
        <w:tc>
          <w:tcPr>
            <w:tcW w:w="1622" w:type="dxa"/>
          </w:tcPr>
          <w:p w:rsidR="00541DD0" w:rsidRDefault="00541DD0">
            <w:pPr>
              <w:rPr>
                <w:rFonts w:ascii="Arial" w:hAnsi="Arial" w:cs="Arial"/>
              </w:rPr>
            </w:pPr>
            <w:r>
              <w:rPr>
                <w:rFonts w:ascii="Arial" w:hAnsi="Arial" w:cs="Arial"/>
              </w:rPr>
              <w:t>$5.77</w:t>
            </w:r>
          </w:p>
        </w:tc>
        <w:tc>
          <w:tcPr>
            <w:tcW w:w="1701" w:type="dxa"/>
          </w:tcPr>
          <w:p w:rsidR="00541DD0" w:rsidRDefault="00541DD0" w:rsidP="00541DD0">
            <w:pPr>
              <w:rPr>
                <w:rFonts w:ascii="Arial" w:hAnsi="Arial" w:cs="Arial"/>
              </w:rPr>
            </w:pPr>
            <w:r>
              <w:rPr>
                <w:rFonts w:ascii="Arial" w:hAnsi="Arial" w:cs="Arial"/>
              </w:rPr>
              <w:t>$69.2</w:t>
            </w:r>
          </w:p>
        </w:tc>
      </w:tr>
    </w:tbl>
    <w:p w:rsidR="00541DD0" w:rsidRDefault="00541DD0">
      <w:pPr>
        <w:rPr>
          <w:rFonts w:ascii="Arial" w:hAnsi="Arial" w:cs="Arial"/>
        </w:rPr>
      </w:pPr>
    </w:p>
    <w:p w:rsidR="00541DD0" w:rsidRDefault="00541DD0">
      <w:pPr>
        <w:rPr>
          <w:rFonts w:ascii="Arial" w:hAnsi="Arial" w:cs="Arial"/>
        </w:rPr>
      </w:pPr>
      <w:r>
        <w:rPr>
          <w:rFonts w:ascii="Arial" w:hAnsi="Arial" w:cs="Arial"/>
        </w:rPr>
        <w:t xml:space="preserve">The cheapest we’re able to get this solution is </w:t>
      </w:r>
      <w:r w:rsidRPr="00541DD0">
        <w:rPr>
          <w:rFonts w:ascii="Arial" w:hAnsi="Arial" w:cs="Arial"/>
          <w:b/>
          <w:bCs/>
        </w:rPr>
        <w:t>$500.72 annually</w:t>
      </w:r>
      <w:r>
        <w:rPr>
          <w:rFonts w:ascii="Arial" w:hAnsi="Arial" w:cs="Arial"/>
        </w:rPr>
        <w:t>, however this requires a three-year commitm</w:t>
      </w:r>
      <w:bookmarkStart w:id="0" w:name="_GoBack"/>
      <w:bookmarkEnd w:id="0"/>
      <w:r>
        <w:rPr>
          <w:rFonts w:ascii="Arial" w:hAnsi="Arial" w:cs="Arial"/>
        </w:rPr>
        <w:t xml:space="preserve">ent. Going with no commitment brings the price up to </w:t>
      </w:r>
      <w:r w:rsidRPr="00541DD0">
        <w:rPr>
          <w:rFonts w:ascii="Arial" w:hAnsi="Arial" w:cs="Arial"/>
          <w:b/>
          <w:bCs/>
        </w:rPr>
        <w:t>$612.85</w:t>
      </w:r>
      <w:r>
        <w:rPr>
          <w:rFonts w:ascii="Arial" w:hAnsi="Arial" w:cs="Arial"/>
        </w:rPr>
        <w:t>. Worse case scenario, it’s still significantly cheaper to go about it with this option compared to others.</w:t>
      </w:r>
    </w:p>
    <w:p w:rsidR="00541DD0" w:rsidRDefault="00541DD0">
      <w:pPr>
        <w:rPr>
          <w:rFonts w:ascii="Arial" w:hAnsi="Arial" w:cs="Arial"/>
        </w:rPr>
      </w:pPr>
    </w:p>
    <w:p w:rsidR="00541DD0" w:rsidRPr="0041562D" w:rsidRDefault="0041562D" w:rsidP="0041562D">
      <w:pPr>
        <w:spacing w:after="0" w:line="240" w:lineRule="auto"/>
        <w:jc w:val="right"/>
        <w:rPr>
          <w:rFonts w:ascii="Arial" w:hAnsi="Arial" w:cs="Arial"/>
          <w:i/>
          <w:iCs/>
        </w:rPr>
      </w:pPr>
      <w:hyperlink r:id="rId5" w:history="1">
        <w:r w:rsidRPr="0041562D">
          <w:rPr>
            <w:rStyle w:val="Hyperlink"/>
            <w:rFonts w:ascii="Arial" w:hAnsi="Arial" w:cs="Arial"/>
            <w:i/>
            <w:iCs/>
          </w:rPr>
          <w:t>Software Requirements</w:t>
        </w:r>
      </w:hyperlink>
    </w:p>
    <w:p w:rsidR="0041562D" w:rsidRPr="0041562D" w:rsidRDefault="0041562D" w:rsidP="0041562D">
      <w:pPr>
        <w:spacing w:after="0" w:line="240" w:lineRule="auto"/>
        <w:jc w:val="right"/>
        <w:rPr>
          <w:rFonts w:ascii="Arial" w:hAnsi="Arial" w:cs="Arial"/>
          <w:i/>
          <w:iCs/>
        </w:rPr>
      </w:pPr>
      <w:hyperlink r:id="rId6" w:history="1">
        <w:r w:rsidRPr="0041562D">
          <w:rPr>
            <w:rStyle w:val="Hyperlink"/>
            <w:rFonts w:ascii="Arial" w:hAnsi="Arial" w:cs="Arial"/>
            <w:i/>
            <w:iCs/>
          </w:rPr>
          <w:t>Hardware Requirements</w:t>
        </w:r>
      </w:hyperlink>
    </w:p>
    <w:p w:rsidR="0041562D" w:rsidRPr="0041562D" w:rsidRDefault="0041562D" w:rsidP="0041562D">
      <w:pPr>
        <w:spacing w:after="0" w:line="240" w:lineRule="auto"/>
        <w:jc w:val="right"/>
        <w:rPr>
          <w:rFonts w:ascii="Arial" w:hAnsi="Arial" w:cs="Arial"/>
          <w:i/>
          <w:iCs/>
        </w:rPr>
      </w:pPr>
      <w:hyperlink r:id="rId7" w:history="1">
        <w:r w:rsidRPr="0041562D">
          <w:rPr>
            <w:rStyle w:val="Hyperlink"/>
            <w:rFonts w:ascii="Arial" w:hAnsi="Arial" w:cs="Arial"/>
            <w:i/>
            <w:iCs/>
          </w:rPr>
          <w:t>VM Pricing</w:t>
        </w:r>
      </w:hyperlink>
    </w:p>
    <w:sectPr w:rsidR="0041562D" w:rsidRPr="00415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4D5"/>
    <w:rsid w:val="000804D5"/>
    <w:rsid w:val="0041562D"/>
    <w:rsid w:val="004E062E"/>
    <w:rsid w:val="004F0627"/>
    <w:rsid w:val="00541DD0"/>
    <w:rsid w:val="008328B3"/>
    <w:rsid w:val="009D31BE"/>
    <w:rsid w:val="00A42420"/>
    <w:rsid w:val="00CC0D78"/>
    <w:rsid w:val="00E645F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1321"/>
  <w15:chartTrackingRefBased/>
  <w15:docId w15:val="{CC64565D-FF6D-478D-9DF6-900D7905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8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28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4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328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8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28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28B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41DD0"/>
    <w:rPr>
      <w:color w:val="0563C1" w:themeColor="hyperlink"/>
      <w:u w:val="single"/>
    </w:rPr>
  </w:style>
  <w:style w:type="character" w:styleId="UnresolvedMention">
    <w:name w:val="Unresolved Mention"/>
    <w:basedOn w:val="DefaultParagraphFont"/>
    <w:uiPriority w:val="99"/>
    <w:semiHidden/>
    <w:unhideWhenUsed/>
    <w:rsid w:val="00541D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zure.microsoft.com/en-us/pricing/details/virtual-machines/window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questtracker.8502.n7.nabble.com/Hardware-requirements-guidelines-td5250.html" TargetMode="External"/><Relationship Id="rId5" Type="http://schemas.openxmlformats.org/officeDocument/2006/relationships/hyperlink" Target="https://rt-wiki.bestpractical.com/wiki/ManualRequirements" TargetMode="External"/><Relationship Id="rId4" Type="http://schemas.openxmlformats.org/officeDocument/2006/relationships/hyperlink" Target="https://azure.microsoft.com/en-us/resources/templates/apache2-on-ubuntu-v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Armstrong-McAllister (1000050934)</dc:creator>
  <cp:keywords/>
  <dc:description/>
  <cp:lastModifiedBy>Finn Armstrong-McAllister (1000050934)</cp:lastModifiedBy>
  <cp:revision>1</cp:revision>
  <dcterms:created xsi:type="dcterms:W3CDTF">2021-03-07T20:59:00Z</dcterms:created>
  <dcterms:modified xsi:type="dcterms:W3CDTF">2021-03-07T22:28:00Z</dcterms:modified>
</cp:coreProperties>
</file>