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09" w:rsidRDefault="00617533" w:rsidP="004B2E09">
      <w:pPr>
        <w:spacing w:line="480" w:lineRule="auto"/>
        <w:rPr>
          <w:rFonts w:cs="Times New Roman"/>
          <w:b/>
        </w:rPr>
      </w:pPr>
      <w:r>
        <w:rPr>
          <w:rFonts w:cs="Times New Roman"/>
          <w:b/>
        </w:rPr>
        <w:t>Supporting information</w:t>
      </w:r>
    </w:p>
    <w:p w:rsidR="004B2E09" w:rsidRDefault="004B2E09" w:rsidP="004B2E09">
      <w:pPr>
        <w:spacing w:line="480" w:lineRule="auto"/>
        <w:rPr>
          <w:rFonts w:cs="Times New Roman"/>
        </w:rPr>
      </w:pPr>
      <w:r>
        <w:rPr>
          <w:rFonts w:cs="Times New Roman"/>
        </w:rPr>
        <w:t>Fig S1 Pangolins seized in amount (pangolin individual equivalent</w:t>
      </w:r>
      <w:r w:rsidR="006F2B2C">
        <w:rPr>
          <w:rFonts w:cs="Times New Roman"/>
        </w:rPr>
        <w:t>s</w:t>
      </w:r>
      <w:r>
        <w:rPr>
          <w:rFonts w:cs="Times New Roman"/>
        </w:rPr>
        <w:t>) and seizure incident numbers over the study period. Note</w:t>
      </w:r>
      <w:r w:rsidR="00C565BF">
        <w:rPr>
          <w:rFonts w:cs="Times New Roman"/>
        </w:rPr>
        <w:t xml:space="preserve"> that data only go through March</w:t>
      </w:r>
      <w:bookmarkStart w:id="0" w:name="_GoBack"/>
      <w:bookmarkEnd w:id="0"/>
      <w:r>
        <w:rPr>
          <w:rFonts w:cs="Times New Roman"/>
        </w:rPr>
        <w:t xml:space="preserve"> 2016.</w:t>
      </w:r>
      <w:r w:rsidR="007C3319">
        <w:rPr>
          <w:rFonts w:cs="Times New Roman"/>
        </w:rPr>
        <w:t xml:space="preserve"> Note </w:t>
      </w:r>
      <w:r w:rsidR="006F2B2C">
        <w:rPr>
          <w:rFonts w:cs="Times New Roman"/>
        </w:rPr>
        <w:t xml:space="preserve">that </w:t>
      </w:r>
      <w:r w:rsidR="002F2038">
        <w:rPr>
          <w:rFonts w:cs="Times New Roman"/>
        </w:rPr>
        <w:t>the increase in</w:t>
      </w:r>
      <w:r w:rsidR="007C3319">
        <w:rPr>
          <w:rFonts w:cs="Times New Roman"/>
        </w:rPr>
        <w:t xml:space="preserve"> seizure incident numbers and individual equi</w:t>
      </w:r>
      <w:r w:rsidR="006F2B2C">
        <w:rPr>
          <w:rFonts w:cs="Times New Roman"/>
        </w:rPr>
        <w:t xml:space="preserve">valents could be a consequence of an increase in media coverage, in increase in </w:t>
      </w:r>
      <w:r w:rsidR="00650590">
        <w:rPr>
          <w:rFonts w:cs="Times New Roman"/>
        </w:rPr>
        <w:t>law enforcement</w:t>
      </w:r>
      <w:r w:rsidR="006F2B2C">
        <w:rPr>
          <w:rFonts w:cs="Times New Roman"/>
        </w:rPr>
        <w:t xml:space="preserve"> </w:t>
      </w:r>
      <w:r w:rsidR="002F2038">
        <w:rPr>
          <w:rFonts w:cs="Times New Roman"/>
        </w:rPr>
        <w:t>and/</w:t>
      </w:r>
      <w:r w:rsidR="006F2B2C">
        <w:rPr>
          <w:rFonts w:cs="Times New Roman"/>
        </w:rPr>
        <w:t>or in an increase in pangolin trade volumes</w:t>
      </w:r>
      <w:r w:rsidR="00650590">
        <w:rPr>
          <w:rFonts w:cs="Times New Roman"/>
        </w:rPr>
        <w:t>.</w:t>
      </w:r>
    </w:p>
    <w:p w:rsidR="004B2E09" w:rsidRDefault="002F2038" w:rsidP="004B2E09">
      <w:pPr>
        <w:spacing w:line="480" w:lineRule="auto"/>
        <w:rPr>
          <w:rFonts w:cs="Times New Roman"/>
        </w:rPr>
      </w:pPr>
      <w:r>
        <w:rPr>
          <w:noProof/>
          <w:lang w:eastAsia="zh-TW"/>
        </w:rPr>
        <w:drawing>
          <wp:inline distT="0" distB="0" distL="0" distR="0" wp14:anchorId="345D0AC1" wp14:editId="0BD3A438">
            <wp:extent cx="5731510" cy="392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09" w:rsidRDefault="004B2E09" w:rsidP="004B2E09">
      <w:pPr>
        <w:spacing w:line="480" w:lineRule="auto"/>
        <w:rPr>
          <w:rFonts w:cs="Times New Roman"/>
        </w:rPr>
      </w:pPr>
    </w:p>
    <w:p w:rsidR="004B2E09" w:rsidRDefault="004B2E09" w:rsidP="004B2E09">
      <w:pPr>
        <w:spacing w:line="480" w:lineRule="auto"/>
        <w:rPr>
          <w:rFonts w:cs="Times New Roman"/>
        </w:rPr>
      </w:pPr>
    </w:p>
    <w:p w:rsidR="004B2E09" w:rsidRDefault="004B2E09" w:rsidP="004B2E09">
      <w:pPr>
        <w:spacing w:line="480" w:lineRule="auto"/>
        <w:jc w:val="left"/>
        <w:rPr>
          <w:rFonts w:cs="Times New Roman"/>
        </w:rPr>
      </w:pPr>
    </w:p>
    <w:p w:rsidR="004B2E09" w:rsidRDefault="004B2E09" w:rsidP="004B2E09">
      <w:pPr>
        <w:spacing w:line="480" w:lineRule="auto"/>
        <w:jc w:val="left"/>
        <w:rPr>
          <w:rFonts w:cs="Times New Roman"/>
        </w:rPr>
      </w:pPr>
    </w:p>
    <w:p w:rsidR="004B2E09" w:rsidRDefault="004B2E09" w:rsidP="004B2E09">
      <w:pPr>
        <w:spacing w:line="480" w:lineRule="auto"/>
        <w:jc w:val="left"/>
        <w:rPr>
          <w:rFonts w:cs="Times New Roman"/>
        </w:rPr>
        <w:sectPr w:rsidR="004B2E09" w:rsidSect="001766C1">
          <w:pgSz w:w="11906" w:h="16838"/>
          <w:pgMar w:top="1440" w:right="1440" w:bottom="1440" w:left="1440" w:header="851" w:footer="992" w:gutter="0"/>
          <w:lnNumType w:countBy="1" w:restart="continuous"/>
          <w:cols w:space="425"/>
          <w:docGrid w:type="lines" w:linePitch="326"/>
        </w:sectPr>
      </w:pPr>
    </w:p>
    <w:p w:rsidR="004B2E09" w:rsidRDefault="004B2E09" w:rsidP="004B2E09">
      <w:pPr>
        <w:spacing w:line="480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Table </w:t>
      </w:r>
      <w:r>
        <w:rPr>
          <w:rFonts w:cs="Times New Roman" w:hint="eastAsia"/>
        </w:rPr>
        <w:t>S2</w:t>
      </w:r>
      <w:r>
        <w:rPr>
          <w:rFonts w:cs="Times New Roman"/>
        </w:rPr>
        <w:t xml:space="preserve"> Bootstrapping results for </w:t>
      </w:r>
      <w:proofErr w:type="spellStart"/>
      <w:r>
        <w:rPr>
          <w:rFonts w:cs="Times New Roman" w:hint="eastAsia"/>
        </w:rPr>
        <w:t>betweenness</w:t>
      </w:r>
      <w:proofErr w:type="spellEnd"/>
      <w:r>
        <w:rPr>
          <w:rFonts w:cs="Times New Roman" w:hint="eastAsia"/>
        </w:rPr>
        <w:t xml:space="preserve"> and degree centrality</w:t>
      </w:r>
      <w:r>
        <w:rPr>
          <w:rFonts w:cs="Times New Roman"/>
        </w:rPr>
        <w:t xml:space="preserve"> for seizure amount</w:t>
      </w:r>
      <w:r>
        <w:rPr>
          <w:rFonts w:cs="Times New Roman" w:hint="eastAsia"/>
        </w:rPr>
        <w:t xml:space="preserve"> by percentage</w:t>
      </w:r>
      <w:r>
        <w:rPr>
          <w:rFonts w:cs="Times New Roman"/>
        </w:rPr>
        <w:t>. 1</w:t>
      </w:r>
      <w:r w:rsidRPr="00AA748B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and 2</w:t>
      </w:r>
      <w:r w:rsidRPr="00AA748B">
        <w:rPr>
          <w:rFonts w:cs="Times New Roman"/>
          <w:vertAlign w:val="superscript"/>
        </w:rPr>
        <w:t>nd</w:t>
      </w:r>
      <w:r>
        <w:rPr>
          <w:rFonts w:cs="Times New Roman"/>
        </w:rPr>
        <w:t xml:space="preserve"> indicate rank, </w:t>
      </w:r>
      <w:proofErr w:type="spellStart"/>
      <w:r>
        <w:rPr>
          <w:rFonts w:cs="Times New Roman"/>
        </w:rPr>
        <w:t>bw_src</w:t>
      </w:r>
      <w:proofErr w:type="spellEnd"/>
      <w:r>
        <w:rPr>
          <w:rFonts w:cs="Times New Roman"/>
        </w:rPr>
        <w:t xml:space="preserve"> is </w:t>
      </w:r>
      <w:proofErr w:type="spellStart"/>
      <w:r w:rsidRPr="00AA748B">
        <w:rPr>
          <w:rFonts w:cs="Times New Roman"/>
        </w:rPr>
        <w:t>Borgatti's</w:t>
      </w:r>
      <w:proofErr w:type="spellEnd"/>
      <w:r w:rsidRPr="00AA748B">
        <w:rPr>
          <w:rFonts w:cs="Times New Roman"/>
        </w:rPr>
        <w:t xml:space="preserve"> source </w:t>
      </w:r>
      <w:proofErr w:type="spellStart"/>
      <w:r w:rsidRPr="00AA748B">
        <w:rPr>
          <w:rFonts w:cs="Times New Roman"/>
        </w:rPr>
        <w:t>betweenness</w:t>
      </w:r>
      <w:proofErr w:type="spellEnd"/>
      <w:r>
        <w:rPr>
          <w:rFonts w:cs="Times New Roman"/>
        </w:rPr>
        <w:t xml:space="preserve">, and </w:t>
      </w:r>
      <w:proofErr w:type="spellStart"/>
      <w:proofErr w:type="gramStart"/>
      <w:r>
        <w:rPr>
          <w:rFonts w:cs="Times New Roman"/>
        </w:rPr>
        <w:t>bw</w:t>
      </w:r>
      <w:proofErr w:type="spellEnd"/>
      <w:proofErr w:type="gramEnd"/>
      <w:r>
        <w:rPr>
          <w:rFonts w:cs="Times New Roman"/>
        </w:rPr>
        <w:t xml:space="preserve"> tar is </w:t>
      </w:r>
      <w:proofErr w:type="spellStart"/>
      <w:r w:rsidRPr="00AA748B">
        <w:rPr>
          <w:rFonts w:cs="Times New Roman"/>
        </w:rPr>
        <w:t>Borgatti's</w:t>
      </w:r>
      <w:proofErr w:type="spellEnd"/>
      <w:r w:rsidRPr="00AA748B">
        <w:rPr>
          <w:rFonts w:cs="Times New Roman"/>
        </w:rPr>
        <w:t xml:space="preserve"> target </w:t>
      </w:r>
      <w:proofErr w:type="spellStart"/>
      <w:r w:rsidRPr="00AA748B">
        <w:rPr>
          <w:rFonts w:cs="Times New Roman"/>
        </w:rPr>
        <w:t>betweenness</w:t>
      </w:r>
      <w:proofErr w:type="spellEnd"/>
      <w:r>
        <w:rPr>
          <w:rFonts w:cs="Times New Roman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4"/>
        <w:gridCol w:w="634"/>
        <w:gridCol w:w="617"/>
        <w:gridCol w:w="670"/>
        <w:gridCol w:w="647"/>
        <w:gridCol w:w="700"/>
        <w:gridCol w:w="581"/>
        <w:gridCol w:w="735"/>
        <w:gridCol w:w="617"/>
        <w:gridCol w:w="687"/>
        <w:gridCol w:w="634"/>
        <w:gridCol w:w="723"/>
        <w:gridCol w:w="617"/>
        <w:gridCol w:w="812"/>
        <w:gridCol w:w="705"/>
        <w:gridCol w:w="851"/>
        <w:gridCol w:w="652"/>
        <w:gridCol w:w="871"/>
        <w:gridCol w:w="652"/>
        <w:gridCol w:w="909"/>
      </w:tblGrid>
      <w:tr w:rsidR="001766C1" w:rsidRPr="001E04FA" w:rsidTr="006D2DFD">
        <w:trPr>
          <w:trHeight w:val="300"/>
        </w:trPr>
        <w:tc>
          <w:tcPr>
            <w:tcW w:w="359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city</w:t>
            </w:r>
          </w:p>
        </w:tc>
        <w:tc>
          <w:tcPr>
            <w:tcW w:w="318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direct_1st</w:t>
            </w: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city</w:t>
            </w:r>
          </w:p>
        </w:tc>
        <w:tc>
          <w:tcPr>
            <w:tcW w:w="339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direct_2nd</w:t>
            </w: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city</w:t>
            </w:r>
          </w:p>
        </w:tc>
        <w:tc>
          <w:tcPr>
            <w:tcW w:w="356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bw_src_1st</w:t>
            </w: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city</w:t>
            </w:r>
          </w:p>
        </w:tc>
        <w:tc>
          <w:tcPr>
            <w:tcW w:w="376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bw_src_2nd</w:t>
            </w:r>
          </w:p>
        </w:tc>
        <w:tc>
          <w:tcPr>
            <w:tcW w:w="465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city</w:t>
            </w:r>
          </w:p>
        </w:tc>
        <w:tc>
          <w:tcPr>
            <w:tcW w:w="349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bw_tar_1st</w:t>
            </w: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city</w:t>
            </w:r>
          </w:p>
        </w:tc>
        <w:tc>
          <w:tcPr>
            <w:tcW w:w="369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bw_tar_2nd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r w:rsidRPr="001E04FA">
              <w:rPr>
                <w:rFonts w:cs="Times New Roman"/>
              </w:rPr>
              <w:t>city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r>
              <w:rPr>
                <w:rFonts w:cs="Times New Roman"/>
              </w:rPr>
              <w:t>indegree</w:t>
            </w:r>
            <w:r w:rsidRPr="001E04FA">
              <w:rPr>
                <w:rFonts w:cs="Times New Roman"/>
              </w:rPr>
              <w:t>_1st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r>
              <w:rPr>
                <w:rFonts w:cs="Times New Roman"/>
              </w:rPr>
              <w:t>city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r>
              <w:rPr>
                <w:rFonts w:cs="Times New Roman"/>
              </w:rPr>
              <w:t>indegree</w:t>
            </w:r>
            <w:r w:rsidRPr="001E04FA">
              <w:rPr>
                <w:rFonts w:cs="Times New Roman"/>
              </w:rPr>
              <w:t>_2nd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r w:rsidRPr="001E04FA">
              <w:rPr>
                <w:rFonts w:cs="Times New Roman"/>
              </w:rPr>
              <w:t>city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r>
              <w:rPr>
                <w:rFonts w:cs="Times New Roman"/>
              </w:rPr>
              <w:t>outdegree</w:t>
            </w:r>
            <w:r w:rsidRPr="001E04FA">
              <w:rPr>
                <w:rFonts w:cs="Times New Roman"/>
              </w:rPr>
              <w:t>_1st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r>
              <w:rPr>
                <w:rFonts w:cs="Times New Roman"/>
              </w:rPr>
              <w:t>city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r>
              <w:rPr>
                <w:rFonts w:cs="Times New Roman"/>
              </w:rPr>
              <w:t>outdegree</w:t>
            </w:r>
            <w:r w:rsidRPr="001E04FA">
              <w:rPr>
                <w:rFonts w:cs="Times New Roman"/>
              </w:rPr>
              <w:t>_2nd</w:t>
            </w:r>
          </w:p>
        </w:tc>
      </w:tr>
      <w:tr w:rsidR="001766C1" w:rsidRPr="001E04FA" w:rsidTr="006D2DFD">
        <w:trPr>
          <w:trHeight w:val="300"/>
        </w:trPr>
        <w:tc>
          <w:tcPr>
            <w:tcW w:w="359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Kunming</w:t>
            </w:r>
          </w:p>
        </w:tc>
        <w:tc>
          <w:tcPr>
            <w:tcW w:w="318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89.4</w:t>
            </w: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Qingdao</w:t>
            </w:r>
          </w:p>
        </w:tc>
        <w:tc>
          <w:tcPr>
            <w:tcW w:w="339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51.9</w:t>
            </w: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C60417" w:rsidP="006F2B2C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Kumming</w:t>
            </w:r>
            <w:proofErr w:type="spellEnd"/>
          </w:p>
        </w:tc>
        <w:tc>
          <w:tcPr>
            <w:tcW w:w="356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9</w:t>
            </w:r>
            <w:r>
              <w:rPr>
                <w:sz w:val="20"/>
              </w:rPr>
              <w:t>3</w:t>
            </w:r>
            <w:r w:rsidR="006D2DFD" w:rsidRPr="001E04FA">
              <w:rPr>
                <w:sz w:val="20"/>
              </w:rPr>
              <w:t>.</w:t>
            </w:r>
            <w:r>
              <w:rPr>
                <w:sz w:val="20"/>
              </w:rPr>
              <w:t>3</w:t>
            </w: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Qingdao</w:t>
            </w:r>
          </w:p>
        </w:tc>
        <w:tc>
          <w:tcPr>
            <w:tcW w:w="376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46.2</w:t>
            </w:r>
          </w:p>
        </w:tc>
        <w:tc>
          <w:tcPr>
            <w:tcW w:w="465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Kunming</w:t>
            </w:r>
          </w:p>
        </w:tc>
        <w:tc>
          <w:tcPr>
            <w:tcW w:w="349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84.9</w:t>
            </w: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Qingdao</w:t>
            </w:r>
          </w:p>
        </w:tc>
        <w:tc>
          <w:tcPr>
            <w:tcW w:w="369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48.9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Kunming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34.5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Kunming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25.3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Sanming</w:t>
            </w:r>
            <w:proofErr w:type="spellEnd"/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29.2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Quzhou</w:t>
            </w:r>
            <w:proofErr w:type="spellEnd"/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20.7</w:t>
            </w:r>
          </w:p>
        </w:tc>
      </w:tr>
      <w:tr w:rsidR="001766C1" w:rsidRPr="001E04FA" w:rsidTr="006D2DFD">
        <w:trPr>
          <w:trHeight w:val="300"/>
        </w:trPr>
        <w:tc>
          <w:tcPr>
            <w:tcW w:w="359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Yunfu</w:t>
            </w:r>
            <w:proofErr w:type="spellEnd"/>
          </w:p>
        </w:tc>
        <w:tc>
          <w:tcPr>
            <w:tcW w:w="318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9.2</w:t>
            </w: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Nanning</w:t>
            </w:r>
          </w:p>
        </w:tc>
        <w:tc>
          <w:tcPr>
            <w:tcW w:w="339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12.2</w:t>
            </w: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C60417" w:rsidP="006F2B2C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Qingyuan</w:t>
            </w:r>
            <w:proofErr w:type="spellEnd"/>
          </w:p>
        </w:tc>
        <w:tc>
          <w:tcPr>
            <w:tcW w:w="356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3.</w:t>
            </w:r>
            <w:r w:rsidR="00D47384">
              <w:rPr>
                <w:sz w:val="20"/>
              </w:rPr>
              <w:t>3</w:t>
            </w: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Nanning</w:t>
            </w:r>
          </w:p>
        </w:tc>
        <w:tc>
          <w:tcPr>
            <w:tcW w:w="376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23.1</w:t>
            </w:r>
          </w:p>
        </w:tc>
        <w:tc>
          <w:tcPr>
            <w:tcW w:w="465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Yunfu</w:t>
            </w:r>
            <w:proofErr w:type="spellEnd"/>
          </w:p>
        </w:tc>
        <w:tc>
          <w:tcPr>
            <w:tcW w:w="349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14.</w:t>
            </w:r>
            <w:r w:rsidR="00D47384">
              <w:rPr>
                <w:sz w:val="20"/>
              </w:rPr>
              <w:t>7</w:t>
            </w: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Kunming</w:t>
            </w:r>
          </w:p>
        </w:tc>
        <w:tc>
          <w:tcPr>
            <w:tcW w:w="369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13.3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Nanning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33.6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15.7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Dehong</w:t>
            </w:r>
            <w:proofErr w:type="spellEnd"/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26.2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Dehong</w:t>
            </w:r>
            <w:proofErr w:type="spellEnd"/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20.3</w:t>
            </w:r>
          </w:p>
        </w:tc>
      </w:tr>
      <w:tr w:rsidR="001766C1" w:rsidRPr="001E04FA" w:rsidTr="006D2DFD">
        <w:trPr>
          <w:trHeight w:val="300"/>
        </w:trPr>
        <w:tc>
          <w:tcPr>
            <w:tcW w:w="359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Qingyuan</w:t>
            </w:r>
            <w:proofErr w:type="spellEnd"/>
          </w:p>
        </w:tc>
        <w:tc>
          <w:tcPr>
            <w:tcW w:w="318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D2DFD" w:rsidRPr="001E04FA">
              <w:rPr>
                <w:sz w:val="20"/>
              </w:rPr>
              <w:t>.3</w:t>
            </w: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Kunming</w:t>
            </w:r>
          </w:p>
        </w:tc>
        <w:tc>
          <w:tcPr>
            <w:tcW w:w="339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6.7</w:t>
            </w: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C60417" w:rsidP="006F2B2C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Yunfu</w:t>
            </w:r>
            <w:proofErr w:type="spellEnd"/>
          </w:p>
        </w:tc>
        <w:tc>
          <w:tcPr>
            <w:tcW w:w="356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2.9</w:t>
            </w: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Jinan</w:t>
            </w:r>
          </w:p>
        </w:tc>
        <w:tc>
          <w:tcPr>
            <w:tcW w:w="376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9.</w:t>
            </w:r>
            <w:r w:rsidR="00D47384">
              <w:rPr>
                <w:sz w:val="20"/>
              </w:rPr>
              <w:t>6</w:t>
            </w:r>
          </w:p>
        </w:tc>
        <w:tc>
          <w:tcPr>
            <w:tcW w:w="465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Nanning</w:t>
            </w:r>
          </w:p>
        </w:tc>
        <w:tc>
          <w:tcPr>
            <w:tcW w:w="349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0.</w:t>
            </w:r>
            <w:r w:rsidR="00D47384">
              <w:rPr>
                <w:sz w:val="20"/>
              </w:rPr>
              <w:t>2</w:t>
            </w: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Chuxiong</w:t>
            </w:r>
            <w:proofErr w:type="spellEnd"/>
          </w:p>
        </w:tc>
        <w:tc>
          <w:tcPr>
            <w:tcW w:w="369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10.9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Macau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11.2</w:t>
            </w:r>
          </w:p>
        </w:tc>
        <w:tc>
          <w:tcPr>
            <w:tcW w:w="78" w:type="pct"/>
          </w:tcPr>
          <w:p w:rsidR="006D2DFD" w:rsidRPr="001E04FA" w:rsidRDefault="00C60417" w:rsidP="00C604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Guangzhou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14.1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Quanzhou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11.7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Quanzhou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9.9</w:t>
            </w:r>
          </w:p>
        </w:tc>
      </w:tr>
      <w:tr w:rsidR="001766C1" w:rsidRPr="001E04FA" w:rsidTr="001766C1">
        <w:trPr>
          <w:trHeight w:val="300"/>
        </w:trPr>
        <w:tc>
          <w:tcPr>
            <w:tcW w:w="359" w:type="pct"/>
            <w:noWrap/>
            <w:vAlign w:val="center"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</w:p>
        </w:tc>
        <w:tc>
          <w:tcPr>
            <w:tcW w:w="318" w:type="pct"/>
            <w:noWrap/>
            <w:vAlign w:val="center"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Jinan</w:t>
            </w:r>
          </w:p>
        </w:tc>
        <w:tc>
          <w:tcPr>
            <w:tcW w:w="339" w:type="pct"/>
            <w:noWrap/>
            <w:vAlign w:val="center"/>
            <w:hideMark/>
          </w:tcPr>
          <w:p w:rsidR="006D2DFD" w:rsidRPr="001E04FA" w:rsidRDefault="001766C1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6.7</w:t>
            </w: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</w:p>
        </w:tc>
        <w:tc>
          <w:tcPr>
            <w:tcW w:w="356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</w:p>
        </w:tc>
        <w:tc>
          <w:tcPr>
            <w:tcW w:w="364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Beihai</w:t>
            </w:r>
          </w:p>
        </w:tc>
        <w:tc>
          <w:tcPr>
            <w:tcW w:w="376" w:type="pct"/>
            <w:noWrap/>
            <w:vAlign w:val="center"/>
            <w:hideMark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  <w:r w:rsidRPr="001E04FA">
              <w:rPr>
                <w:sz w:val="20"/>
              </w:rPr>
              <w:t>4.8</w:t>
            </w:r>
          </w:p>
        </w:tc>
        <w:tc>
          <w:tcPr>
            <w:tcW w:w="465" w:type="pct"/>
            <w:noWrap/>
            <w:vAlign w:val="center"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</w:p>
        </w:tc>
        <w:tc>
          <w:tcPr>
            <w:tcW w:w="349" w:type="pct"/>
            <w:noWrap/>
            <w:vAlign w:val="center"/>
          </w:tcPr>
          <w:p w:rsidR="006D2DFD" w:rsidRPr="001E04FA" w:rsidRDefault="006D2DFD" w:rsidP="006F2B2C">
            <w:pPr>
              <w:jc w:val="center"/>
              <w:rPr>
                <w:sz w:val="20"/>
              </w:rPr>
            </w:pPr>
          </w:p>
        </w:tc>
        <w:tc>
          <w:tcPr>
            <w:tcW w:w="359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Wenzhou</w:t>
            </w:r>
          </w:p>
        </w:tc>
        <w:tc>
          <w:tcPr>
            <w:tcW w:w="369" w:type="pct"/>
            <w:noWrap/>
            <w:vAlign w:val="center"/>
            <w:hideMark/>
          </w:tcPr>
          <w:p w:rsidR="006D2DFD" w:rsidRPr="001E04FA" w:rsidRDefault="00D47384" w:rsidP="006F2B2C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Longyan</w:t>
            </w:r>
            <w:proofErr w:type="spellEnd"/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11.2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Wenzhou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12.7</w:t>
            </w:r>
          </w:p>
        </w:tc>
        <w:tc>
          <w:tcPr>
            <w:tcW w:w="78" w:type="pct"/>
          </w:tcPr>
          <w:p w:rsidR="006D2DFD" w:rsidRPr="001E04FA" w:rsidRDefault="006D2DFD" w:rsidP="00AB432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Jieyang</w:t>
            </w:r>
            <w:proofErr w:type="spellEnd"/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11.2</w:t>
            </w:r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Chongzuo</w:t>
            </w:r>
            <w:proofErr w:type="spellEnd"/>
          </w:p>
        </w:tc>
        <w:tc>
          <w:tcPr>
            <w:tcW w:w="78" w:type="pct"/>
          </w:tcPr>
          <w:p w:rsidR="006D2DFD" w:rsidRPr="001E04FA" w:rsidRDefault="00C60417" w:rsidP="00AB432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</w:tbl>
    <w:p w:rsidR="004B2E09" w:rsidRDefault="004B2E09" w:rsidP="004B2E09">
      <w:pPr>
        <w:spacing w:line="480" w:lineRule="auto"/>
        <w:jc w:val="left"/>
      </w:pPr>
    </w:p>
    <w:p w:rsidR="004B2E09" w:rsidRDefault="004B2E09" w:rsidP="004B2E09">
      <w:pPr>
        <w:spacing w:line="480" w:lineRule="auto"/>
        <w:jc w:val="left"/>
        <w:rPr>
          <w:rFonts w:cs="Times New Roman"/>
        </w:rPr>
      </w:pPr>
    </w:p>
    <w:p w:rsidR="004B2E09" w:rsidRDefault="004B2E09" w:rsidP="004B2E09">
      <w:pPr>
        <w:spacing w:line="480" w:lineRule="auto"/>
        <w:jc w:val="left"/>
        <w:rPr>
          <w:rFonts w:cs="Times New Roman"/>
        </w:rPr>
      </w:pPr>
    </w:p>
    <w:p w:rsidR="004B2E09" w:rsidRDefault="004B2E09" w:rsidP="004B2E09">
      <w:pPr>
        <w:spacing w:line="480" w:lineRule="auto"/>
        <w:jc w:val="left"/>
        <w:rPr>
          <w:rFonts w:cs="Times New Roman"/>
        </w:rPr>
      </w:pPr>
    </w:p>
    <w:p w:rsidR="00AB4323" w:rsidRDefault="00AB4323" w:rsidP="004B2E09">
      <w:pPr>
        <w:spacing w:line="480" w:lineRule="auto"/>
        <w:jc w:val="left"/>
        <w:rPr>
          <w:rFonts w:cs="Times New Roman"/>
        </w:rPr>
      </w:pPr>
    </w:p>
    <w:p w:rsidR="00AB4323" w:rsidRDefault="00AB4323" w:rsidP="004B2E09">
      <w:pPr>
        <w:spacing w:line="480" w:lineRule="auto"/>
        <w:jc w:val="left"/>
        <w:rPr>
          <w:rFonts w:cs="Times New Roman"/>
        </w:rPr>
      </w:pPr>
    </w:p>
    <w:p w:rsidR="00AB4323" w:rsidRDefault="00AB4323" w:rsidP="004B2E09">
      <w:pPr>
        <w:spacing w:line="480" w:lineRule="auto"/>
        <w:jc w:val="left"/>
        <w:rPr>
          <w:rFonts w:cs="Times New Roman"/>
        </w:rPr>
      </w:pPr>
    </w:p>
    <w:p w:rsidR="004B2E09" w:rsidRDefault="004B2E09" w:rsidP="004B2E09">
      <w:pPr>
        <w:spacing w:line="480" w:lineRule="auto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Table </w:t>
      </w:r>
      <w:r>
        <w:rPr>
          <w:rFonts w:cs="Times New Roman" w:hint="eastAsia"/>
        </w:rPr>
        <w:t>S3</w:t>
      </w:r>
      <w:r>
        <w:rPr>
          <w:rFonts w:cs="Times New Roman"/>
        </w:rPr>
        <w:t xml:space="preserve"> Bootstrapping results for </w:t>
      </w:r>
      <w:proofErr w:type="spellStart"/>
      <w:r>
        <w:rPr>
          <w:rFonts w:cs="Times New Roman" w:hint="eastAsia"/>
        </w:rPr>
        <w:t>betweenness</w:t>
      </w:r>
      <w:proofErr w:type="spellEnd"/>
      <w:r>
        <w:rPr>
          <w:rFonts w:cs="Times New Roman" w:hint="eastAsia"/>
        </w:rPr>
        <w:t xml:space="preserve"> and degree centrality</w:t>
      </w:r>
      <w:r>
        <w:rPr>
          <w:rFonts w:cs="Times New Roman"/>
        </w:rPr>
        <w:t xml:space="preserve"> for seizure </w:t>
      </w:r>
      <w:r>
        <w:rPr>
          <w:rFonts w:cs="Times New Roman" w:hint="eastAsia"/>
        </w:rPr>
        <w:t>times in percentage</w:t>
      </w:r>
      <w:r>
        <w:rPr>
          <w:rFonts w:cs="Times New Roman"/>
        </w:rPr>
        <w:t>. 1</w:t>
      </w:r>
      <w:r w:rsidRPr="00AA748B">
        <w:rPr>
          <w:rFonts w:cs="Times New Roman"/>
          <w:vertAlign w:val="superscript"/>
        </w:rPr>
        <w:t>st</w:t>
      </w:r>
      <w:r>
        <w:rPr>
          <w:rFonts w:cs="Times New Roman"/>
        </w:rPr>
        <w:t xml:space="preserve"> and 2</w:t>
      </w:r>
      <w:r w:rsidRPr="00AA748B">
        <w:rPr>
          <w:rFonts w:cs="Times New Roman"/>
          <w:vertAlign w:val="superscript"/>
        </w:rPr>
        <w:t>nd</w:t>
      </w:r>
      <w:r>
        <w:rPr>
          <w:rFonts w:cs="Times New Roman"/>
        </w:rPr>
        <w:t xml:space="preserve"> indicate rank, </w:t>
      </w:r>
      <w:proofErr w:type="spellStart"/>
      <w:r>
        <w:rPr>
          <w:rFonts w:cs="Times New Roman"/>
        </w:rPr>
        <w:t>bw_src</w:t>
      </w:r>
      <w:proofErr w:type="spellEnd"/>
      <w:r>
        <w:rPr>
          <w:rFonts w:cs="Times New Roman"/>
        </w:rPr>
        <w:t xml:space="preserve"> is </w:t>
      </w:r>
      <w:proofErr w:type="spellStart"/>
      <w:r w:rsidRPr="00AA748B">
        <w:rPr>
          <w:rFonts w:cs="Times New Roman"/>
        </w:rPr>
        <w:t>Borgatti's</w:t>
      </w:r>
      <w:proofErr w:type="spellEnd"/>
      <w:r w:rsidRPr="00AA748B">
        <w:rPr>
          <w:rFonts w:cs="Times New Roman"/>
        </w:rPr>
        <w:t xml:space="preserve"> source </w:t>
      </w:r>
      <w:proofErr w:type="spellStart"/>
      <w:r w:rsidRPr="00AA748B">
        <w:rPr>
          <w:rFonts w:cs="Times New Roman"/>
        </w:rPr>
        <w:t>betweenness</w:t>
      </w:r>
      <w:proofErr w:type="spellEnd"/>
      <w:r>
        <w:rPr>
          <w:rFonts w:cs="Times New Roman"/>
        </w:rPr>
        <w:t xml:space="preserve">, and </w:t>
      </w:r>
      <w:proofErr w:type="spellStart"/>
      <w:proofErr w:type="gramStart"/>
      <w:r>
        <w:rPr>
          <w:rFonts w:cs="Times New Roman"/>
        </w:rPr>
        <w:t>bw</w:t>
      </w:r>
      <w:proofErr w:type="spellEnd"/>
      <w:proofErr w:type="gramEnd"/>
      <w:r>
        <w:rPr>
          <w:rFonts w:cs="Times New Roman"/>
        </w:rPr>
        <w:t xml:space="preserve"> tar is </w:t>
      </w:r>
      <w:proofErr w:type="spellStart"/>
      <w:r w:rsidRPr="00AA748B">
        <w:rPr>
          <w:rFonts w:cs="Times New Roman"/>
        </w:rPr>
        <w:t>Borgatti's</w:t>
      </w:r>
      <w:proofErr w:type="spellEnd"/>
      <w:r w:rsidRPr="00AA748B">
        <w:rPr>
          <w:rFonts w:cs="Times New Roman"/>
        </w:rPr>
        <w:t xml:space="preserve"> target </w:t>
      </w:r>
      <w:proofErr w:type="spellStart"/>
      <w:r w:rsidRPr="00AA748B">
        <w:rPr>
          <w:rFonts w:cs="Times New Roman"/>
        </w:rPr>
        <w:t>betweenness</w:t>
      </w:r>
      <w:proofErr w:type="spellEnd"/>
      <w:r>
        <w:rPr>
          <w:rFonts w:cs="Times New Roman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9"/>
        <w:gridCol w:w="486"/>
        <w:gridCol w:w="712"/>
        <w:gridCol w:w="657"/>
        <w:gridCol w:w="1163"/>
        <w:gridCol w:w="689"/>
        <w:gridCol w:w="711"/>
        <w:gridCol w:w="731"/>
        <w:gridCol w:w="709"/>
        <w:gridCol w:w="675"/>
        <w:gridCol w:w="69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30C72" w:rsidRPr="001E04FA" w:rsidTr="006F2B2C">
        <w:trPr>
          <w:trHeight w:val="300"/>
        </w:trPr>
        <w:tc>
          <w:tcPr>
            <w:tcW w:w="114" w:type="pct"/>
            <w:vAlign w:val="center"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sz w:val="20"/>
              </w:rPr>
              <w:t>city</w:t>
            </w:r>
          </w:p>
        </w:tc>
        <w:tc>
          <w:tcPr>
            <w:tcW w:w="174" w:type="pct"/>
            <w:vAlign w:val="center"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sz w:val="20"/>
              </w:rPr>
              <w:t>direct_1st</w:t>
            </w: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city</w:t>
            </w:r>
          </w:p>
        </w:tc>
        <w:tc>
          <w:tcPr>
            <w:tcW w:w="23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direct_2nd</w:t>
            </w:r>
          </w:p>
        </w:tc>
        <w:tc>
          <w:tcPr>
            <w:tcW w:w="417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city</w:t>
            </w:r>
          </w:p>
        </w:tc>
        <w:tc>
          <w:tcPr>
            <w:tcW w:w="247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bw_src_1st</w:t>
            </w: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city</w:t>
            </w:r>
          </w:p>
        </w:tc>
        <w:tc>
          <w:tcPr>
            <w:tcW w:w="26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bw_src_2nd</w:t>
            </w:r>
          </w:p>
        </w:tc>
        <w:tc>
          <w:tcPr>
            <w:tcW w:w="254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city</w:t>
            </w:r>
          </w:p>
        </w:tc>
        <w:tc>
          <w:tcPr>
            <w:tcW w:w="24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bw_tar_1st</w:t>
            </w:r>
          </w:p>
        </w:tc>
        <w:tc>
          <w:tcPr>
            <w:tcW w:w="250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city</w:t>
            </w: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bw_tar_2nd</w:t>
            </w:r>
          </w:p>
        </w:tc>
        <w:tc>
          <w:tcPr>
            <w:tcW w:w="255" w:type="pct"/>
          </w:tcPr>
          <w:p w:rsidR="00E30C72" w:rsidRPr="001E04FA" w:rsidRDefault="00E30C72" w:rsidP="00AB4323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city</w:t>
            </w:r>
          </w:p>
        </w:tc>
        <w:tc>
          <w:tcPr>
            <w:tcW w:w="255" w:type="pct"/>
          </w:tcPr>
          <w:p w:rsidR="00E30C72" w:rsidRPr="001E04FA" w:rsidRDefault="00E30C72" w:rsidP="00E30C7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indegree</w:t>
            </w:r>
            <w:r w:rsidRPr="001E04FA">
              <w:rPr>
                <w:rFonts w:cs="Times New Roman"/>
              </w:rPr>
              <w:t>_1st</w:t>
            </w:r>
          </w:p>
        </w:tc>
        <w:tc>
          <w:tcPr>
            <w:tcW w:w="255" w:type="pct"/>
          </w:tcPr>
          <w:p w:rsidR="00E30C72" w:rsidRPr="001E04FA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city</w:t>
            </w:r>
          </w:p>
        </w:tc>
        <w:tc>
          <w:tcPr>
            <w:tcW w:w="255" w:type="pct"/>
          </w:tcPr>
          <w:p w:rsidR="00E30C72" w:rsidRPr="001E04FA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indegree</w:t>
            </w:r>
            <w:r w:rsidRPr="001E04FA">
              <w:rPr>
                <w:rFonts w:cs="Times New Roman"/>
              </w:rPr>
              <w:t>_2nd</w:t>
            </w:r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city</w:t>
            </w:r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outdegree</w:t>
            </w:r>
            <w:r w:rsidRPr="001E04FA">
              <w:rPr>
                <w:rFonts w:cs="Times New Roman"/>
              </w:rPr>
              <w:t>_1st</w:t>
            </w:r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city</w:t>
            </w:r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outdegree</w:t>
            </w:r>
            <w:r w:rsidRPr="001E04FA">
              <w:rPr>
                <w:rFonts w:cs="Times New Roman"/>
              </w:rPr>
              <w:t>_2nd</w:t>
            </w:r>
          </w:p>
        </w:tc>
      </w:tr>
      <w:tr w:rsidR="00E30C72" w:rsidRPr="001E04FA" w:rsidTr="006F2B2C">
        <w:trPr>
          <w:trHeight w:val="300"/>
        </w:trPr>
        <w:tc>
          <w:tcPr>
            <w:tcW w:w="114" w:type="pct"/>
          </w:tcPr>
          <w:p w:rsidR="00E30C72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Kunming</w:t>
            </w:r>
          </w:p>
        </w:tc>
        <w:tc>
          <w:tcPr>
            <w:tcW w:w="174" w:type="pct"/>
          </w:tcPr>
          <w:p w:rsidR="00E30C72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89.6</w:t>
            </w: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Qingdao</w:t>
            </w:r>
          </w:p>
        </w:tc>
        <w:tc>
          <w:tcPr>
            <w:tcW w:w="23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53.1</w:t>
            </w:r>
          </w:p>
        </w:tc>
        <w:tc>
          <w:tcPr>
            <w:tcW w:w="417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</w:t>
            </w:r>
            <w:r w:rsidRPr="001E04FA">
              <w:rPr>
                <w:rFonts w:cs="Times New Roman"/>
              </w:rPr>
              <w:t>unming</w:t>
            </w:r>
          </w:p>
        </w:tc>
        <w:tc>
          <w:tcPr>
            <w:tcW w:w="247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92.3</w:t>
            </w:r>
          </w:p>
        </w:tc>
        <w:tc>
          <w:tcPr>
            <w:tcW w:w="255" w:type="pct"/>
            <w:noWrap/>
            <w:hideMark/>
          </w:tcPr>
          <w:p w:rsidR="00E30C72" w:rsidRDefault="00E30C72" w:rsidP="00AB4323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Qingdao</w:t>
            </w:r>
          </w:p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</w:p>
        </w:tc>
        <w:tc>
          <w:tcPr>
            <w:tcW w:w="26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44.6</w:t>
            </w:r>
          </w:p>
        </w:tc>
        <w:tc>
          <w:tcPr>
            <w:tcW w:w="254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Kunming</w:t>
            </w:r>
          </w:p>
        </w:tc>
        <w:tc>
          <w:tcPr>
            <w:tcW w:w="24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84.</w:t>
            </w:r>
            <w:r>
              <w:rPr>
                <w:rFonts w:cs="Times New Roman"/>
              </w:rPr>
              <w:t>8</w:t>
            </w:r>
          </w:p>
        </w:tc>
        <w:tc>
          <w:tcPr>
            <w:tcW w:w="250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Qingdao</w:t>
            </w: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51.5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Kunming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68.7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Wuxi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33.5</w:t>
            </w:r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Sanming</w:t>
            </w:r>
            <w:proofErr w:type="spellEnd"/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83.2</w:t>
            </w:r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Fangchenggang</w:t>
            </w:r>
            <w:proofErr w:type="spellEnd"/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65.8</w:t>
            </w:r>
          </w:p>
        </w:tc>
      </w:tr>
      <w:tr w:rsidR="00E30C72" w:rsidRPr="001E04FA" w:rsidTr="006F2B2C">
        <w:trPr>
          <w:trHeight w:val="300"/>
        </w:trPr>
        <w:tc>
          <w:tcPr>
            <w:tcW w:w="114" w:type="pct"/>
          </w:tcPr>
          <w:p w:rsidR="00E30C72" w:rsidRDefault="00E30C72" w:rsidP="006F2B2C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Yunfu</w:t>
            </w:r>
            <w:proofErr w:type="spellEnd"/>
          </w:p>
        </w:tc>
        <w:tc>
          <w:tcPr>
            <w:tcW w:w="174" w:type="pct"/>
          </w:tcPr>
          <w:p w:rsidR="00E30C72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8.5</w:t>
            </w: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Nanning</w:t>
            </w:r>
          </w:p>
        </w:tc>
        <w:tc>
          <w:tcPr>
            <w:tcW w:w="23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10.9</w:t>
            </w:r>
          </w:p>
        </w:tc>
        <w:tc>
          <w:tcPr>
            <w:tcW w:w="417" w:type="pct"/>
            <w:noWrap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Yunfu</w:t>
            </w:r>
            <w:proofErr w:type="spellEnd"/>
          </w:p>
        </w:tc>
        <w:tc>
          <w:tcPr>
            <w:tcW w:w="247" w:type="pct"/>
            <w:noWrap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3.8</w:t>
            </w:r>
          </w:p>
        </w:tc>
        <w:tc>
          <w:tcPr>
            <w:tcW w:w="255" w:type="pct"/>
            <w:noWrap/>
            <w:hideMark/>
          </w:tcPr>
          <w:p w:rsidR="00E30C72" w:rsidRDefault="00E30C72" w:rsidP="00AB4323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Nanning</w:t>
            </w:r>
          </w:p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</w:p>
        </w:tc>
        <w:tc>
          <w:tcPr>
            <w:tcW w:w="26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22.2</w:t>
            </w:r>
          </w:p>
        </w:tc>
        <w:tc>
          <w:tcPr>
            <w:tcW w:w="254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Yunfu</w:t>
            </w:r>
            <w:proofErr w:type="spellEnd"/>
          </w:p>
        </w:tc>
        <w:tc>
          <w:tcPr>
            <w:tcW w:w="24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14.7</w:t>
            </w:r>
          </w:p>
        </w:tc>
        <w:tc>
          <w:tcPr>
            <w:tcW w:w="250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Kunming</w:t>
            </w: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13.1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Longyan</w:t>
            </w:r>
            <w:proofErr w:type="spellEnd"/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21.1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Kunming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20.5</w:t>
            </w:r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Fangchenggang</w:t>
            </w:r>
            <w:proofErr w:type="spellEnd"/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15.9</w:t>
            </w:r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Longyan</w:t>
            </w:r>
            <w:proofErr w:type="spellEnd"/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16.8</w:t>
            </w:r>
          </w:p>
        </w:tc>
      </w:tr>
      <w:tr w:rsidR="00E30C72" w:rsidRPr="001E04FA" w:rsidTr="006F2B2C">
        <w:trPr>
          <w:trHeight w:val="300"/>
        </w:trPr>
        <w:tc>
          <w:tcPr>
            <w:tcW w:w="114" w:type="pct"/>
          </w:tcPr>
          <w:p w:rsidR="00E30C72" w:rsidRDefault="00E30C72" w:rsidP="006F2B2C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Qingyuan</w:t>
            </w:r>
            <w:proofErr w:type="spellEnd"/>
          </w:p>
        </w:tc>
        <w:tc>
          <w:tcPr>
            <w:tcW w:w="174" w:type="pct"/>
          </w:tcPr>
          <w:p w:rsidR="00E30C72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Zhengzhou</w:t>
            </w:r>
          </w:p>
        </w:tc>
        <w:tc>
          <w:tcPr>
            <w:tcW w:w="23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7.1</w:t>
            </w:r>
          </w:p>
        </w:tc>
        <w:tc>
          <w:tcPr>
            <w:tcW w:w="417" w:type="pct"/>
            <w:noWrap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Qingyuan</w:t>
            </w:r>
            <w:proofErr w:type="spellEnd"/>
          </w:p>
        </w:tc>
        <w:tc>
          <w:tcPr>
            <w:tcW w:w="247" w:type="pct"/>
            <w:noWrap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3.</w:t>
            </w:r>
            <w:r>
              <w:rPr>
                <w:rFonts w:cs="Times New Roman"/>
              </w:rPr>
              <w:t>0</w:t>
            </w:r>
          </w:p>
        </w:tc>
        <w:tc>
          <w:tcPr>
            <w:tcW w:w="255" w:type="pct"/>
            <w:noWrap/>
            <w:hideMark/>
          </w:tcPr>
          <w:p w:rsidR="00E30C72" w:rsidRDefault="00E30C72" w:rsidP="00AB4323">
            <w:pPr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Jinan</w:t>
            </w:r>
          </w:p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</w:p>
        </w:tc>
        <w:tc>
          <w:tcPr>
            <w:tcW w:w="26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12.9</w:t>
            </w:r>
          </w:p>
        </w:tc>
        <w:tc>
          <w:tcPr>
            <w:tcW w:w="254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Qingyuan</w:t>
            </w:r>
            <w:proofErr w:type="spellEnd"/>
          </w:p>
        </w:tc>
        <w:tc>
          <w:tcPr>
            <w:tcW w:w="24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 w:rsidRPr="001E04FA">
              <w:rPr>
                <w:rFonts w:cs="Times New Roman"/>
              </w:rPr>
              <w:t>0.</w:t>
            </w:r>
            <w:r>
              <w:rPr>
                <w:rFonts w:cs="Times New Roman"/>
              </w:rPr>
              <w:t>2</w:t>
            </w:r>
          </w:p>
        </w:tc>
        <w:tc>
          <w:tcPr>
            <w:tcW w:w="250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Chuxiong</w:t>
            </w:r>
            <w:proofErr w:type="spellEnd"/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8.8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Wenchang</w:t>
            </w:r>
            <w:proofErr w:type="spellEnd"/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7.0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Shantou</w:t>
            </w:r>
          </w:p>
        </w:tc>
        <w:tc>
          <w:tcPr>
            <w:tcW w:w="255" w:type="pct"/>
          </w:tcPr>
          <w:p w:rsidR="00E30C72" w:rsidRPr="001E04FA" w:rsidDel="006076FF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19.9</w:t>
            </w:r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Longyan</w:t>
            </w:r>
            <w:proofErr w:type="spellEnd"/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0.9</w:t>
            </w:r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Quzhou</w:t>
            </w:r>
            <w:proofErr w:type="spellEnd"/>
          </w:p>
        </w:tc>
        <w:tc>
          <w:tcPr>
            <w:tcW w:w="255" w:type="pct"/>
          </w:tcPr>
          <w:p w:rsidR="00E30C72" w:rsidRPr="001E04FA" w:rsidDel="006076FF" w:rsidRDefault="006D2DFD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12.7</w:t>
            </w:r>
          </w:p>
        </w:tc>
      </w:tr>
      <w:tr w:rsidR="00E30C72" w:rsidRPr="001E04FA" w:rsidTr="006F2B2C">
        <w:trPr>
          <w:trHeight w:val="300"/>
        </w:trPr>
        <w:tc>
          <w:tcPr>
            <w:tcW w:w="114" w:type="pct"/>
          </w:tcPr>
          <w:p w:rsidR="00E30C72" w:rsidRDefault="00E30C72" w:rsidP="006F2B2C">
            <w:pPr>
              <w:jc w:val="left"/>
              <w:rPr>
                <w:rFonts w:cs="Times New Roman"/>
              </w:rPr>
            </w:pPr>
          </w:p>
        </w:tc>
        <w:tc>
          <w:tcPr>
            <w:tcW w:w="174" w:type="pct"/>
          </w:tcPr>
          <w:p w:rsidR="00E30C72" w:rsidRDefault="00E30C72" w:rsidP="006F2B2C">
            <w:pPr>
              <w:jc w:val="left"/>
              <w:rPr>
                <w:rFonts w:cs="Times New Roman"/>
              </w:rPr>
            </w:pP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Kunming</w:t>
            </w:r>
          </w:p>
        </w:tc>
        <w:tc>
          <w:tcPr>
            <w:tcW w:w="23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7.0</w:t>
            </w:r>
          </w:p>
        </w:tc>
        <w:tc>
          <w:tcPr>
            <w:tcW w:w="417" w:type="pct"/>
            <w:noWrap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</w:p>
        </w:tc>
        <w:tc>
          <w:tcPr>
            <w:tcW w:w="247" w:type="pct"/>
            <w:noWrap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Kunming</w:t>
            </w:r>
          </w:p>
        </w:tc>
        <w:tc>
          <w:tcPr>
            <w:tcW w:w="26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6.1</w:t>
            </w:r>
          </w:p>
        </w:tc>
        <w:tc>
          <w:tcPr>
            <w:tcW w:w="254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</w:p>
        </w:tc>
        <w:tc>
          <w:tcPr>
            <w:tcW w:w="242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</w:p>
        </w:tc>
        <w:tc>
          <w:tcPr>
            <w:tcW w:w="250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Wenzhou</w:t>
            </w:r>
          </w:p>
        </w:tc>
        <w:tc>
          <w:tcPr>
            <w:tcW w:w="255" w:type="pct"/>
            <w:noWrap/>
            <w:hideMark/>
          </w:tcPr>
          <w:p w:rsidR="00E30C72" w:rsidRPr="001E04FA" w:rsidRDefault="00E30C72" w:rsidP="006F2B2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7.4</w:t>
            </w:r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Hangzhou</w:t>
            </w:r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2.7</w:t>
            </w:r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Chuxiong</w:t>
            </w:r>
            <w:proofErr w:type="spellEnd"/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12.2</w:t>
            </w:r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</w:p>
        </w:tc>
        <w:tc>
          <w:tcPr>
            <w:tcW w:w="255" w:type="pct"/>
          </w:tcPr>
          <w:p w:rsidR="00E30C72" w:rsidRDefault="00E30C72" w:rsidP="00AB4323">
            <w:pPr>
              <w:jc w:val="left"/>
              <w:rPr>
                <w:rFonts w:cs="Times New Roman"/>
              </w:rPr>
            </w:pPr>
          </w:p>
        </w:tc>
        <w:tc>
          <w:tcPr>
            <w:tcW w:w="255" w:type="pct"/>
          </w:tcPr>
          <w:p w:rsidR="00E30C72" w:rsidRDefault="006D2DFD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Hangzhou</w:t>
            </w:r>
          </w:p>
        </w:tc>
        <w:tc>
          <w:tcPr>
            <w:tcW w:w="255" w:type="pct"/>
          </w:tcPr>
          <w:p w:rsidR="00E30C72" w:rsidRDefault="006D2DFD" w:rsidP="00AB432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2.6</w:t>
            </w:r>
          </w:p>
        </w:tc>
      </w:tr>
    </w:tbl>
    <w:p w:rsidR="004B2E09" w:rsidRDefault="004B2E09" w:rsidP="004B2E09">
      <w:pPr>
        <w:spacing w:line="480" w:lineRule="auto"/>
        <w:jc w:val="left"/>
        <w:rPr>
          <w:rFonts w:cs="Times New Roman"/>
        </w:rPr>
      </w:pPr>
    </w:p>
    <w:p w:rsidR="004B2E09" w:rsidRDefault="004B2E09" w:rsidP="004B2E09">
      <w:pPr>
        <w:spacing w:line="480" w:lineRule="auto"/>
        <w:jc w:val="left"/>
        <w:rPr>
          <w:rFonts w:cs="Times New Roman"/>
        </w:rPr>
      </w:pPr>
    </w:p>
    <w:p w:rsidR="004B2E09" w:rsidRDefault="004B2E09" w:rsidP="004B2E09">
      <w:pPr>
        <w:spacing w:line="480" w:lineRule="auto"/>
        <w:jc w:val="left"/>
      </w:pPr>
      <w:r>
        <w:rPr>
          <w:rFonts w:cs="Times New Roman"/>
        </w:rPr>
        <w:lastRenderedPageBreak/>
        <w:t xml:space="preserve">Table </w:t>
      </w:r>
      <w:r>
        <w:rPr>
          <w:rFonts w:cs="Times New Roman" w:hint="eastAsia"/>
        </w:rPr>
        <w:t>S4</w:t>
      </w:r>
      <w:r>
        <w:rPr>
          <w:rFonts w:cs="Times New Roman"/>
        </w:rPr>
        <w:t xml:space="preserve"> Bootstrapping results for </w:t>
      </w:r>
      <w:proofErr w:type="spellStart"/>
      <w:r>
        <w:rPr>
          <w:rFonts w:cs="Times New Roman" w:hint="eastAsia"/>
        </w:rPr>
        <w:t>k</w:t>
      </w:r>
      <w:r>
        <w:rPr>
          <w:rFonts w:cs="Times New Roman"/>
        </w:rPr>
        <w:t>eyplayers</w:t>
      </w:r>
      <w:proofErr w:type="spellEnd"/>
      <w:r>
        <w:rPr>
          <w:rFonts w:cs="Times New Roman"/>
        </w:rPr>
        <w:t xml:space="preserve"> based on fragmentation index for seizure amount (pangolin individual equivalents).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55"/>
        <w:gridCol w:w="3087"/>
      </w:tblGrid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Cities/Countries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 xml:space="preserve">Possibilities chosen as key players 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Guangzhou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95.7%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Vietnam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62.9%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proofErr w:type="spellStart"/>
            <w:r>
              <w:rPr>
                <w:rFonts w:cs="Times New Roman"/>
              </w:rPr>
              <w:t>Fangchenggang</w:t>
            </w:r>
            <w:proofErr w:type="spellEnd"/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36.2%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Kunming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29.3%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Shenzhen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24.1%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Changsha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19.8%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Myanmar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14.6%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proofErr w:type="spellStart"/>
            <w:r>
              <w:rPr>
                <w:rFonts w:cs="Times New Roman"/>
              </w:rPr>
              <w:t>Hongkong</w:t>
            </w:r>
            <w:proofErr w:type="spellEnd"/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6.0%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Nanning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3.4%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proofErr w:type="spellStart"/>
            <w:r>
              <w:rPr>
                <w:rFonts w:cs="Times New Roman"/>
              </w:rPr>
              <w:t>Dehong</w:t>
            </w:r>
            <w:proofErr w:type="spellEnd"/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2.6%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Shanghai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2.6%</w:t>
            </w:r>
          </w:p>
        </w:tc>
      </w:tr>
      <w:tr w:rsidR="004B2E09" w:rsidTr="001766C1">
        <w:trPr>
          <w:trHeight w:val="300"/>
        </w:trPr>
        <w:tc>
          <w:tcPr>
            <w:tcW w:w="6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Zhangzhou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E09" w:rsidRDefault="004B2E09" w:rsidP="001766C1">
            <w:pPr>
              <w:spacing w:line="480" w:lineRule="auto"/>
              <w:jc w:val="left"/>
            </w:pPr>
            <w:r>
              <w:rPr>
                <w:rFonts w:cs="Times New Roman"/>
              </w:rPr>
              <w:t>1.7%</w:t>
            </w:r>
          </w:p>
        </w:tc>
      </w:tr>
    </w:tbl>
    <w:p w:rsidR="001766C1" w:rsidRDefault="001766C1"/>
    <w:sectPr w:rsidR="001766C1" w:rsidSect="001766C1">
      <w:pgSz w:w="16838" w:h="11906" w:orient="landscape"/>
      <w:pgMar w:top="1440" w:right="1440" w:bottom="1440" w:left="1440" w:header="851" w:footer="992" w:gutter="0"/>
      <w:lnNumType w:countBy="1" w:restart="continuous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09"/>
    <w:rsid w:val="001766C1"/>
    <w:rsid w:val="002F2038"/>
    <w:rsid w:val="004B2E09"/>
    <w:rsid w:val="004F4225"/>
    <w:rsid w:val="006076FF"/>
    <w:rsid w:val="00617533"/>
    <w:rsid w:val="00650590"/>
    <w:rsid w:val="006D161B"/>
    <w:rsid w:val="006D2DFD"/>
    <w:rsid w:val="006F2B2C"/>
    <w:rsid w:val="00741C71"/>
    <w:rsid w:val="007C3319"/>
    <w:rsid w:val="0099349A"/>
    <w:rsid w:val="00AB4323"/>
    <w:rsid w:val="00C565BF"/>
    <w:rsid w:val="00C60417"/>
    <w:rsid w:val="00CF31C6"/>
    <w:rsid w:val="00D47384"/>
    <w:rsid w:val="00E30C72"/>
    <w:rsid w:val="00FA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F38E4-4A1F-4106-8C57-95C2AB4D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09"/>
    <w:pPr>
      <w:widowControl w:val="0"/>
      <w:jc w:val="both"/>
    </w:pPr>
    <w:rPr>
      <w:rFonts w:ascii="Times New Roman" w:hAnsi="Times New Roman"/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E09"/>
    <w:rPr>
      <w:rFonts w:asciiTheme="minorHAnsi" w:hAnsiTheme="minorHAns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B2E09"/>
  </w:style>
  <w:style w:type="paragraph" w:styleId="BalloonText">
    <w:name w:val="Balloon Text"/>
    <w:basedOn w:val="Normal"/>
    <w:link w:val="BalloonTextChar"/>
    <w:uiPriority w:val="99"/>
    <w:semiHidden/>
    <w:unhideWhenUsed/>
    <w:rsid w:val="007C3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19"/>
    <w:rPr>
      <w:rFonts w:ascii="Tahom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tbone</dc:creator>
  <cp:keywords/>
  <dc:description/>
  <cp:lastModifiedBy>Bonebrake</cp:lastModifiedBy>
  <cp:revision>2</cp:revision>
  <dcterms:created xsi:type="dcterms:W3CDTF">2016-12-01T07:50:00Z</dcterms:created>
  <dcterms:modified xsi:type="dcterms:W3CDTF">2016-12-01T07:50:00Z</dcterms:modified>
</cp:coreProperties>
</file>