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A13A9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0000FF"/>
          <w:kern w:val="0"/>
          <w:sz w:val="20"/>
          <w:szCs w:val="20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"https://iclr.cc/virtual/2026/poster/10011121"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1AA101BB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Escaping Low-Rank Traps: Interpretable Visual Concept Learning via Implicit Vector Quantization</w:t>
      </w:r>
    </w:p>
    <w:p w14:paraId="2DCC136A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91190F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"https://iclr.cc/virtual/2026/poster/10007905"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01F41EB1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Omni-IML: Towards Unified Interpretable Image Manipulation Localization</w:t>
      </w:r>
    </w:p>
    <w:p w14:paraId="0D4A2B8B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FB79EAF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"https://iclr.cc/virtual/2026/poster/10009623"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124F6137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Does Higher Interpretability Imply Better Utility? A Pairwise Analysis on Sparse Autoencoders</w:t>
      </w:r>
    </w:p>
    <w:p w14:paraId="0A5132F5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260580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"https://iclr.cc/virtual/2026/poster/10010925"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451EC95B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Medical Interpretability and Knowledge Maps of Large Language Models</w:t>
      </w:r>
    </w:p>
    <w:p w14:paraId="491F91B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302F8C50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"https://iclr.cc/virtual/2026/poster/10011967"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2B269695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Spatially Informed Autoencoders for Interpretable Visual Representation Learning</w:t>
      </w:r>
    </w:p>
    <w:p w14:paraId="026B8A7B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1BC963E3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"https://iclr.cc/virtual/2026/poster/10011083"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1809C665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Provably Tracking Equivalent Mechanistic Interpretations Across Neural Networks</w:t>
      </w:r>
    </w:p>
    <w:p w14:paraId="4A0CDCB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2EE66AF3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"https://iclr.cc/virtual/2026/poster/10008021"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58A1B3D5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Fair Decision Utility in Human-AI Collaboration: Interpretable Confidence Adjustment for Humans with Cognitive Disparities</w:t>
      </w:r>
    </w:p>
    <w:p w14:paraId="2762531C" w14:textId="6B2A000C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  <w:r w:rsidRPr="008F63C2">
        <w:rPr>
          <w:rFonts w:ascii="Exo" w:eastAsia="宋体" w:hAnsi="Exo" w:cs="宋体"/>
          <w:color w:val="212529"/>
          <w:kern w:val="0"/>
          <w:sz w:val="20"/>
          <w:szCs w:val="20"/>
        </w:rPr>
        <w:t xml:space="preserve"> </w:t>
      </w:r>
    </w:p>
    <w:p w14:paraId="648FD92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"https://iclr.cc/virtual/2026/poster/10010457"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7D8AA19B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ZIP-RC: Zero-overhead Inference-time Prediction of Reward and Cost for Adaptive and Interpretable Generation</w:t>
      </w:r>
    </w:p>
    <w:p w14:paraId="4A66B27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60DA56ED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"https://iclr.cc/virtual/2026/poster/10011755"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3345A30E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Circuit Insights: Towards Interpretability Beyond Activations</w:t>
      </w:r>
    </w:p>
    <w:p w14:paraId="118D2B94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6FCD77EC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"https://iclr.cc/virtual/2026/poster/10006737"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387E8A8D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Multi-ReduNet: Interpretable Class-Wise Decomposition of ReduNet</w:t>
      </w:r>
    </w:p>
    <w:p w14:paraId="699619C3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4FE283F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"https://iclr.cc/virtual/2026/poster/10009138"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3FEE7486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Interpretable 3D Neural Object Volumes for Robust Conceptual Reasoning</w:t>
      </w:r>
    </w:p>
    <w:p w14:paraId="39F91CEF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lastRenderedPageBreak/>
        <w:fldChar w:fldCharType="end"/>
      </w:r>
    </w:p>
    <w:p w14:paraId="58910C62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"https://iclr.cc/virtual/2026/poster/10011395"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4F94E092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Learning to Interpret Weight Differences in Language Models</w:t>
      </w:r>
    </w:p>
    <w:p w14:paraId="1D781A22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50FD67F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"https://iclr.cc/virtual/2026/poster/10009273"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248A5DB4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The Tutor-Pupil Augmentation: Enhancing Learning and Interpretability via Input Corrections</w:t>
      </w:r>
    </w:p>
    <w:p w14:paraId="6B39763D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70DC69D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"https://iclr.cc/virtual/2026/poster/10009219"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52D479AD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Automated Interpretability Metrics Do Not Distinguish Trained and Random Transformers</w:t>
      </w:r>
    </w:p>
    <w:p w14:paraId="3C4CBA5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2D00C264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"https://iclr.cc/virtual/2026/poster/10009182"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112E34BF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Summaries as Centroids for Interpretable and Scalable Text Clustering</w:t>
      </w:r>
    </w:p>
    <w:p w14:paraId="34AA42A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725125C0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"https://iclr.cc/virtual/2026/poster/10009887"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2E22300F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Gradient-Based Program Synthesis with Neurally Interpreted Languages</w:t>
      </w:r>
    </w:p>
    <w:p w14:paraId="709A8C4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686401F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"https://iclr.cc/virtual/2026/poster/10007615"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5FAC8499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Learning Pseudorandom Numbers with Transformers: Permuted Congruential Generators, Curricula, and Interpretability</w:t>
      </w:r>
    </w:p>
    <w:p w14:paraId="7867C4EF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6782EE54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"https://iclr.cc/virtual/2026/poster/10008312"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24FE07A0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VisionLaw: Inferring Interpretable Intrinsic Dynamics from Visual Observations via Bilevel Optimization</w:t>
      </w:r>
    </w:p>
    <w:p w14:paraId="4077494F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7B2183D2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"https://iclr.cc/virtual/2026/poster/10009798"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4FCB15B6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NIMO: a Nonlinear Interpretable MOdel</w:t>
      </w:r>
    </w:p>
    <w:p w14:paraId="3D0CBBDD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23D61A99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"https://iclr.cc/virtual/2026/poster/10010604"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67C734A0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R1-Code-Interpreter: LLMs Reason with Code via Supervised and Multi-stage Reinforcement Learning</w:t>
      </w:r>
    </w:p>
    <w:p w14:paraId="603ABE2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5D5ECC4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"https://iclr.cc/virtual/2026/poster/10009289"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18CEB3FB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Unveiling Perceptual Artifacts: A Fine-Grained Benchmark for Interpretable AI-Generated Image Detection</w:t>
      </w:r>
    </w:p>
    <w:p w14:paraId="4CDB59E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1614FC3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"https://iclr.cc/virtual/2026/poster/10009871"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3E1B8E49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lastRenderedPageBreak/>
        <w:t>Exploring Interpretability for Visual Prompt Tuning with Cross-layer Concepts</w:t>
      </w:r>
    </w:p>
    <w:p w14:paraId="422E5FFC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8251BB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/>
          <w:color w:val="212529"/>
          <w:kern w:val="0"/>
          <w:sz w:val="20"/>
          <w:szCs w:val="20"/>
        </w:rPr>
        <w:t>-</w:t>
      </w:r>
    </w:p>
    <w:p w14:paraId="12A60FA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"https://iclr.cc/virtual/2026/poster/10011719"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07B36C63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Loc$^{2}$: Interpretable Cross-View Localization via Depth-Lifted Local Feature Matching</w:t>
      </w:r>
    </w:p>
    <w:p w14:paraId="0951C8F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A2C185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"https://iclr.cc/virtual/2026/poster/10006804"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58AE814B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I Predict Therefore I Am: Is Next Token Prediction Enough to Learn Human-Interpretable Concepts from Data?</w:t>
      </w:r>
    </w:p>
    <w:p w14:paraId="39A30339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3DBF678A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"https://iclr.cc/virtual/2026/poster/10009211"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72F3FE0F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Adaptive Concept Discovery for Interpretable Few-Shot Text Classification</w:t>
      </w:r>
    </w:p>
    <w:p w14:paraId="156678F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569316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"https://iclr.cc/virtual/2026/poster/10008931"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2F981016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Hessian-Enhanced Token Attribution (HETA): Interpreting Autoregressive LLMs</w:t>
      </w:r>
    </w:p>
    <w:p w14:paraId="77ADEF2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470941DC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"https://iclr.cc/virtual/2026/poster/10007805"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493078CD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Evaluating SAE interpretability without generating explanations</w:t>
      </w:r>
    </w:p>
    <w:p w14:paraId="63972F2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577FEC5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"https://iclr.cc/virtual/2026/poster/10009141"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619AB8FE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Transformers Don’t Need LayerNorm at Inference Time: Scaling LayerNorm Removal to GPT-2 XL and Implications for Mechanistic Interpretability</w:t>
      </w:r>
    </w:p>
    <w:p w14:paraId="07B7DDFD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31363999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"https://iclr.cc/virtual/2026/poster/10009329"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084C68A5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Function Induction and Task Generalization: An Interpretability Study with Off-by-One Addition</w:t>
      </w:r>
    </w:p>
    <w:p w14:paraId="76572F0C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3A7A1D54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"https://iclr.cc/virtual/2026/poster/10007081"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79C3DF93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What's In My Human Feedback? Learning Interpretable Descriptions of Preference Data</w:t>
      </w:r>
    </w:p>
    <w:p w14:paraId="37F1EBD7" w14:textId="44871048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56F15AD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"https://iclr.cc/virtual/2026/poster/10010133"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0436CBBE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SAE as a Crystal Ball: Interpretable Features Predict Cross-domain Transferability of LLMs without Training</w:t>
      </w:r>
    </w:p>
    <w:p w14:paraId="4532DF23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727823A4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"https://iclr.cc/virtual/2026/poster/10008087"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05FC4251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lastRenderedPageBreak/>
        <w:t>Hierarchical Concept-based Interpretable Models</w:t>
      </w:r>
    </w:p>
    <w:p w14:paraId="3988DB1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1BFD63B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"https://iclr.cc/virtual/2026/poster/10010751"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62E63678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Sparse CLIP: Co-Optimizing Interpretability and Performance in Contrastive Learning</w:t>
      </w:r>
    </w:p>
    <w:p w14:paraId="34C48A23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1802223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"https://iclr.cc/virtual/2026/poster/10008945"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24E71E20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CerebraGloss: Instruction-Tuning a Large Vision-Language Model for Fine-Grained Clinical EEG Interpretation</w:t>
      </w:r>
    </w:p>
    <w:p w14:paraId="517B876B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478801FA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"https://iclr.cc/virtual/2026/poster/10010571"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47C09DED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Fast and Interpretable Protein Substructure Alignment via Optimal Transport</w:t>
      </w:r>
    </w:p>
    <w:p w14:paraId="4377593A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2C30692F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"https://iclr.cc/virtual/2026/poster/10011355"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583FF41C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Causal Interpretation of Neural Network Computations with Contribution Decomposition (CODEC)</w:t>
      </w:r>
    </w:p>
    <w:p w14:paraId="2884AD5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A04BC5D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"https://iclr.cc/virtual/2026/poster/10011774"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72BAECDC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MICLIP: Learning to Interpret Representation in Vision Models</w:t>
      </w:r>
    </w:p>
    <w:p w14:paraId="766EA320" w14:textId="5D774B0D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  <w:r w:rsidRPr="008F63C2">
        <w:rPr>
          <w:rFonts w:ascii="Exo" w:eastAsia="宋体" w:hAnsi="Exo" w:cs="宋体"/>
          <w:color w:val="212529"/>
          <w:kern w:val="0"/>
          <w:sz w:val="20"/>
          <w:szCs w:val="20"/>
        </w:rPr>
        <w:t xml:space="preserve"> </w:t>
      </w:r>
    </w:p>
    <w:p w14:paraId="5B878185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"https://iclr.cc/virtual/2026/poster/10011928"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7880AD2B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Neural+Symbolic Approaches for Interpretable Actor-Critic Reinforcement Learning</w:t>
      </w:r>
    </w:p>
    <w:p w14:paraId="7B80535D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70518A9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"https://iclr.cc/virtual/2026/poster/10008008"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033EEC1F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Self-Consistency Improves the Trustworthiness of Self-Interpretable GNNs</w:t>
      </w:r>
    </w:p>
    <w:p w14:paraId="1FF52154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F7865A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"https://iclr.cc/virtual/2026/poster/10008886"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18E09A6D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Towards Interpretable Visual Decoding with Attention to Brain Representations</w:t>
      </w:r>
    </w:p>
    <w:p w14:paraId="7B910A8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03A84BF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"https://iclr.cc/virtual/2026/poster/10007598"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60033C39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Discovering and Steering Interpretable Concepts in Large Generative Music Models</w:t>
      </w:r>
    </w:p>
    <w:p w14:paraId="772A3052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5E3EE89A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"https://iclr.cc/virtual/2026/poster/10009290"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2E6E4FB6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Provable Guarantees for Automated Circuit Discovery in Mechanistic Interpretability</w:t>
      </w:r>
    </w:p>
    <w:p w14:paraId="58F4C4F2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4AF52C7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lastRenderedPageBreak/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"https://iclr.cc/virtual/2026/poster/10010190"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3AB7C9B7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From Five Dimensions to Many: Large Language Models as Precise and Interpretable Psychological Profilers</w:t>
      </w:r>
    </w:p>
    <w:p w14:paraId="37C24E5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28534C50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"https://iclr.cc/virtual/2026/poster/10008749"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1EA37168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Learning Efficient and Interpretable Multi-Agent Communication</w:t>
      </w:r>
    </w:p>
    <w:p w14:paraId="7F425C2C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5AD21AC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"https://iclr.cc/virtual/2026/poster/10011066"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495A289F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How Do Transformers Learn to Associate Tokens: Gradient Leading Terms Bring Mechanistic Interpretability</w:t>
      </w:r>
    </w:p>
    <w:p w14:paraId="22D53DEB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28F36962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"https://iclr.cc/virtual/2026/poster/10009440"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1D1EAF31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Quantifying Cross-Attention Interaction in Transformers for Interpreting TCR-pMHC Binding</w:t>
      </w:r>
    </w:p>
    <w:p w14:paraId="3D33B56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1F7899A5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"https://iclr.cc/virtual/2026/poster/10008573"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70AB0CAE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Temporal Sparse Autoencoders: Leveraging the Sequential Nature of Language for Interpretability</w:t>
      </w:r>
    </w:p>
    <w:p w14:paraId="6D1262D3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75661CFA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"https://iclr.cc/virtual/2026/poster/10006744"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6972AB6A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xRFM: Accurate, scalable, and interpretable feature learning models for tabular data</w:t>
      </w:r>
    </w:p>
    <w:p w14:paraId="6F26E070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417D2E3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"https://iclr.cc/virtual/2026/poster/10009416"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7A629B77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Decomposing Representation Space into Interpretable Subspaces with Unsupervised Learning</w:t>
      </w:r>
    </w:p>
    <w:p w14:paraId="33F319D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156550F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"https://iclr.cc/virtual/2026/poster/10008388"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6ADFB7B2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Precise and Interpretable Editing of Code Knowledge in Large Language Models</w:t>
      </w:r>
    </w:p>
    <w:p w14:paraId="239708B3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7435773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"https://iclr.cc/virtual/2026/poster/10011390"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422A8D89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Semantic Regexes: Auto-Interpreting LLM Features with a Structured Language</w:t>
      </w:r>
    </w:p>
    <w:p w14:paraId="7584889F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787A436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"https://iclr.cc/virtual/2026/poster/10011564"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0577D7C1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Priors in time: Missing inductive biases for language model interpretability</w:t>
      </w:r>
    </w:p>
    <w:p w14:paraId="619CAFCC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5311172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"https://iclr.cc/virtual/2026/poster/10007292"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51B1F82D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lastRenderedPageBreak/>
        <w:t>DiffusionBlocks: Block-wise Neural Network Training via Diffusion Interpretation</w:t>
      </w:r>
    </w:p>
    <w:p w14:paraId="338ABB5A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6C423FD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"https://iclr.cc/virtual/2026/poster/10010236"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4497F445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Structural Inference: Interpreting Small Language Models with Susceptibilities</w:t>
      </w:r>
    </w:p>
    <w:p w14:paraId="1482DAE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7B148F9B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"https://iclr.cc/virtual/2026/poster/10007532"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5ED61648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CodeBrain: Towards Decoupled Interpretability and Multi-Scale Architecture for EEG Foundation Model</w:t>
      </w:r>
    </w:p>
    <w:p w14:paraId="5621B46D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6613A57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"https://iclr.cc/virtual/2026/poster/10008605"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1AC0C232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Thought Branches: Interpreting LLM Reasoning Requires Resampling</w:t>
      </w:r>
    </w:p>
    <w:p w14:paraId="6FE6AF75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7FE61DA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"https://iclr.cc/virtual/2026/poster/10011814"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3A0C7D24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Patronus: Interpretable Diffusion Models with Prototypes</w:t>
      </w:r>
    </w:p>
    <w:p w14:paraId="0C29901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70127AB5" w14:textId="77777777" w:rsidR="000F115C" w:rsidRDefault="000F115C" w:rsidP="000F115C">
      <w:pPr>
        <w:rPr>
          <w:rFonts w:hint="eastAsia"/>
        </w:rPr>
      </w:pPr>
    </w:p>
    <w:p w14:paraId="0FFA6B3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0000FF"/>
          <w:kern w:val="0"/>
          <w:sz w:val="20"/>
          <w:szCs w:val="20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"https://iclr.cc/virtual/2026/poster/10008143"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14EFE165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VidGuard-R1: AI-Generated Video Detection and Explanation via Reasoning MLLMs and RL</w:t>
      </w:r>
    </w:p>
    <w:p w14:paraId="51A68CF3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7D7A150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"https://iclr.cc/virtual/2026/poster/10009205"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4F8583B6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FakeXplain: AI-Generated Images Detection via Human-Aligned Grounded Reasoning</w:t>
      </w:r>
    </w:p>
    <w:p w14:paraId="501AB2C2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54DFAB0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"https://iclr.cc/virtual/2026/poster/10009064"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23B1230E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Explainable Token-level Noise Filtering for LLM Fine-tuning Datasets</w:t>
      </w:r>
    </w:p>
    <w:p w14:paraId="5D9A9F0F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  <w:r w:rsidRPr="008F63C2">
        <w:rPr>
          <w:rFonts w:ascii="Exo" w:eastAsia="宋体" w:hAnsi="Exo" w:cs="宋体"/>
          <w:color w:val="212529"/>
          <w:kern w:val="0"/>
          <w:sz w:val="20"/>
          <w:szCs w:val="20"/>
        </w:rPr>
        <w:t xml:space="preserve"> </w:t>
      </w:r>
    </w:p>
    <w:p w14:paraId="76A8F6CF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"https://iclr.cc/virtual/2026/poster/10007460"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4B1147D4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Truthful or Fabricated? Using Causal Attribution to Mitigate Reward Hacking in Explanations</w:t>
      </w:r>
    </w:p>
    <w:p w14:paraId="70FD67C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2D015EF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"https://iclr.cc/virtual/2026/poster/10010240"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28A41CF1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ATEX-CF: Attack-Informed Counterfactual Explanations for Graph Neural Networks</w:t>
      </w:r>
    </w:p>
    <w:p w14:paraId="3AF717C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6CDE7D1F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"https://iclr.cc/virtual/2026/poster/10011139"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2E730925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Missingness Bias Calibration in Feature Attribution Explanations</w:t>
      </w:r>
    </w:p>
    <w:p w14:paraId="0E32A61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32D943A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lastRenderedPageBreak/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"https://iclr.cc/virtual/2026/poster/10011598"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54052ED0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Joint Distribution–Informed Shapley Values for Sparse Counterfactual Explanations</w:t>
      </w:r>
    </w:p>
    <w:p w14:paraId="65E1D6E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324A570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"https://iclr.cc/virtual/2026/poster/10007773"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68F97F35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Unifying Complexity-Theoretic Perspectives on Provable Explanations</w:t>
      </w:r>
    </w:p>
    <w:p w14:paraId="4692020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41CF802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"https://iclr.cc/virtual/2026/poster/10006716"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66632071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EmotionThinker: Prosody-Aware Reinforcement Learning for Explainable Speech Emotion Reasoning</w:t>
      </w:r>
    </w:p>
    <w:p w14:paraId="03E0865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578E71AC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"https://iclr.cc/virtual/2026/poster/10011089"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0EABCAEC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Bridging Explainability and Embeddings: BEE Aware of Spuriousness</w:t>
      </w:r>
    </w:p>
    <w:p w14:paraId="6F9487BD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30284CDB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"https://iclr.cc/virtual/2026/poster/10008934"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15193651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Temporal Geometry of Deep Networks: Hyperbolic Representations of Training Dynamics for Intrinsic Explainability</w:t>
      </w:r>
    </w:p>
    <w:p w14:paraId="0345833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1CC79AE4" w14:textId="55F2A6E2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</w:p>
    <w:p w14:paraId="308DE25D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"https://iclr.cc/virtual/2026/poster/10009966"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4E31E9D8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TIMESLIVER : SYMBOLIC-LINEAR DECOMPOSITION FOR EXPLAINABLE TIME SERIES CLASSIFICATION</w:t>
      </w:r>
    </w:p>
    <w:p w14:paraId="6BE4D80F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4541BA6D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"https://iclr.cc/virtual/2026/poster/10011591"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0599AE8F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MaskInversion: Localized Embeddings via Optimization of Explainability Maps</w:t>
      </w:r>
    </w:p>
    <w:p w14:paraId="73CA57F2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349CE15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"https://iclr.cc/virtual/2026/poster/10006710"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017E8FC5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Explainable LLM Unlearning through Reasoning</w:t>
      </w:r>
    </w:p>
    <w:p w14:paraId="6F5E2A04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F2EC64C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"https://iclr.cc/virtual/2026/poster/10006468"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107A16C5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Your VAR Model is Secretly an Efficient and Explainable Generative Classifier</w:t>
      </w:r>
    </w:p>
    <w:p w14:paraId="36C85025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604DABF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"https://iclr.cc/virtual/2026/poster/10010284"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0348804C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ProtoTS: Learning Hierarchical Prototypes for Explainable Time Series Forecasting</w:t>
      </w:r>
    </w:p>
    <w:p w14:paraId="0F6E8BD9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1EF7CC1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"https://iclr.cc/virtual/2026/poster/10011059"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235C768E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lastRenderedPageBreak/>
        <w:t>GALAX: Graph-Augmented Language Model for Explainable Reinforcement-Guided Subgraph Reasoning in Precision Medicine</w:t>
      </w:r>
    </w:p>
    <w:p w14:paraId="2D3CD8EA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125A4CBF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"https://iclr.cc/virtual/2026/poster/10008132"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2D3EF6A8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TAVAE: A VAE with Adaptable Priors Explains Contextual Modulation in the Visual Cortex</w:t>
      </w:r>
    </w:p>
    <w:p w14:paraId="6389588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2715460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"https://iclr.cc/virtual/2026/poster/10006425"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762C2300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Translate Policy to Language: Flow Matching Generated Rewards for LLM Explanations</w:t>
      </w:r>
    </w:p>
    <w:p w14:paraId="1647BA8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58CA91F2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"https://iclr.cc/virtual/2026/poster/10008086"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6E4DDBC2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Certified Evaluation of Model-Level Explanations for Graph Neural Networks</w:t>
      </w:r>
    </w:p>
    <w:p w14:paraId="3BF4A26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330820AA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"https://iclr.cc/virtual/2026/poster/10011975"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59D9F744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Provably Explaining Neural Additive Models</w:t>
      </w:r>
    </w:p>
    <w:p w14:paraId="19EFDFEB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226E09A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"https://iclr.cc/virtual/2026/poster/10011799"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7274DF85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DrugTrail: Explainable Drug Discovery via Structured Reasoning and Druggability</w:t>
      </w: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noBreakHyphen/>
        <w:t>Tailored Preference Optimization</w:t>
      </w:r>
    </w:p>
    <w:p w14:paraId="08AFF6B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6197A410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"https://iclr.cc/virtual/2026/poster/10008582"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117DE9C2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ImagenWorld: Stress-Testing Image Generation Models with Explainable Human Evaluation on Open-ended Real-World Tasks</w:t>
      </w:r>
    </w:p>
    <w:p w14:paraId="267D793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369F0BB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"https://iclr.cc/virtual/2026/poster/10008203"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0E9241AE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When Machine Learning Gets Personal: Evaluating Prediction and Explanation</w:t>
      </w:r>
    </w:p>
    <w:p w14:paraId="1BEE78E5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2F23576C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"https://iclr.cc/virtual/2026/poster/10007123"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79DD96E2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Probing to Refine: Reinforcement Distillation of LLM Reasoners via Explanatory Inversion</w:t>
      </w:r>
    </w:p>
    <w:p w14:paraId="44F2555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6D23AA0C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"https://iclr.cc/virtual/2026/poster/10009110"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0C3F6F78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Saddle-to-Saddle Dynamics Explains A Simplicity Bias Across Architectures</w:t>
      </w:r>
    </w:p>
    <w:p w14:paraId="78A411A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DDC3FDF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"https://iclr.cc/virtual/2026/poster/10008670"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558B0DED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lastRenderedPageBreak/>
        <w:t>TimeSeg: An Information-Theoretic Segment-Wise Explainer for Time-Series Predictions</w:t>
      </w:r>
    </w:p>
    <w:p w14:paraId="52A2149D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56D57800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"https://iclr.cc/virtual/2026/poster/10007064"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56698432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Explaining Grokking and Information Bottleneck through Neural Collapse Emergence</w:t>
      </w:r>
    </w:p>
    <w:p w14:paraId="2901571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3F85DDA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"https://iclr.cc/virtual/2026/poster/10007805"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0D944521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Evaluating SAE interpretability without generating explanations</w:t>
      </w:r>
    </w:p>
    <w:p w14:paraId="0C2CBC1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710A432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"https://iclr.cc/virtual/2026/poster/10010418"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31BE3F87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GNN Explanations that do not Explain and How to find Them</w:t>
      </w:r>
    </w:p>
    <w:p w14:paraId="6A97DF4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5F5E953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"https://iclr.cc/virtual/2026/poster/10010974"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4A8E5B2E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Counterfactual Explanations on Robust Perceptual Geodesics</w:t>
      </w:r>
    </w:p>
    <w:p w14:paraId="524CE082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6A4DAB2C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"https://iclr.cc/virtual/2026/poster/10007454"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40ACAFEB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LogicXGNN: Grounded Logical Rules for Explaining Graph Neural Networks</w:t>
      </w:r>
    </w:p>
    <w:p w14:paraId="3BE5AAA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6618922A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"https://iclr.cc/virtual/2026/poster/10009044"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57AC5263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More Than What Was Chosen: LLM-based Explainable Recommendation Beyond Noisy User Preferences</w:t>
      </w:r>
    </w:p>
    <w:p w14:paraId="08E186D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4EFECF0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"https://iclr.cc/virtual/2026/poster/10008633"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20583E98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ExPO-HM: Learning to Explain-then-Detect for Hateful Meme Detection</w:t>
      </w:r>
    </w:p>
    <w:p w14:paraId="74660FE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A7D041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"https://iclr.cc/virtual/2026/poster/10009326"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79127A82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Structured Reasoning for LLMs: A Unified Framework for Efficiency and Explainability</w:t>
      </w:r>
    </w:p>
    <w:p w14:paraId="54F2C81C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0F3AFD2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"https://iclr.cc/virtual/2026/poster/10008135"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1FACB002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Learning Concept Bottleneck Models from Mechanistic Explanations</w:t>
      </w:r>
    </w:p>
    <w:p w14:paraId="3EE8F05B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95997CF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"https://iclr.cc/virtual/2026/poster/10008470"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4D219998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Using Reinforcement Learning to Train Large Language Models to Explain Human Decisions</w:t>
      </w:r>
    </w:p>
    <w:p w14:paraId="1D0E3B4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4605E611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"https://iclr.cc/virtual/2026/poster/10009828"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6B5805FF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lastRenderedPageBreak/>
        <w:t>Training-free Counterfactual Explanation for Temporal Graph Model Inference</w:t>
      </w:r>
    </w:p>
    <w:p w14:paraId="2AEAF01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12095DED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"https://iclr.cc/virtual/2026/poster/10008239"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0C651016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Bridging Fairness and Explainability: Can Input-Based Explanations Promote Fairness in Hate Speech Detection?</w:t>
      </w:r>
    </w:p>
    <w:p w14:paraId="1C26DE4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1A2B26A9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"https://iclr.cc/virtual/2026/poster/10006439"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0476F073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Synthesising Counterfactual Explanations via Label-Conditional Gaussian Mixture Variational Autoencoders</w:t>
      </w:r>
    </w:p>
    <w:p w14:paraId="61F3111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44E38ABA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"https://iclr.cc/virtual/2026/poster/10008821"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684DE692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Delta-XAI: A Unified Framework for Explaining Prediction Changes in Online Time Series Monitoring</w:t>
      </w:r>
    </w:p>
    <w:p w14:paraId="0F93698D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2544F907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"https://iclr.cc/virtual/2026/poster/10008889"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62123ADD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Task-Related Token Compression in Multimodal Large Language Models from an Explainability Perspective</w:t>
      </w:r>
    </w:p>
    <w:p w14:paraId="7069086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874224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"https://iclr.cc/virtual/2026/poster/10006891"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6A539C96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GRACE: A Language Model Framework for Explainable Inverse Reinforcement Learning</w:t>
      </w:r>
    </w:p>
    <w:p w14:paraId="24AB196F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52FB833A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"https://iclr.cc/virtual/2026/poster/10006422"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15E621FD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Explain in Your Own Words: Improving Reasoning via Token-Selective Dual Knowledge Distillation</w:t>
      </w:r>
    </w:p>
    <w:p w14:paraId="38B29930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70813D5A" w14:textId="58F9203D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</w:p>
    <w:p w14:paraId="291B944B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"https://iclr.cc/virtual/2026/poster/10006837"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2214B89F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Explainable Mixture Models through Differentiable Rule Learning</w:t>
      </w:r>
    </w:p>
    <w:p w14:paraId="0FFB682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6C3E07EB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"https://iclr.cc/virtual/2026/poster/10008619"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22C2B77C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Learning for Highly Faithful Explainability</w:t>
      </w:r>
    </w:p>
    <w:p w14:paraId="2305E64B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3460815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"https://iclr.cc/virtual/2026/poster/10009470"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754EEC59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Leveraging Explanation to Improve Generalization of Meta Reinforcement Learning</w:t>
      </w:r>
    </w:p>
    <w:p w14:paraId="6FCE1B4C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387D27DF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"https://iclr.cc/virtual/2026/poster/10006923"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346F679C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lastRenderedPageBreak/>
        <w:t>Intrinsic Explanation of Random Subspace Method for Enhanced Security Applications</w:t>
      </w:r>
    </w:p>
    <w:p w14:paraId="30E69E1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4472CB1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"https://iclr.cc/virtual/2026/poster/10007652"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02E5DA1F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Explainable $ K $-means Neural Networks for Multi-view Clustering</w:t>
      </w:r>
    </w:p>
    <w:p w14:paraId="46ED838B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49CFFE1F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"https://iclr.cc/virtual/2026/poster/10010817"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4B54D702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Learning Nonlinear Causal Reductions to Explain Reinforcement Learning Policies</w:t>
      </w:r>
    </w:p>
    <w:p w14:paraId="10C94936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150A5C29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"https://iclr.cc/virtual/2026/poster/10009002"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497E4592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Paradigm Shift of GNN Explainer from Label Space to Prototypical Representation Space</w:t>
      </w:r>
    </w:p>
    <w:p w14:paraId="0C3FC01E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4B9FCB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"https://iclr.cc/virtual/2026/poster/10008571"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6E20CCB3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How Transformers Learn Causal Structures In-Context: Explainable Mechanism Meets Theoretical Guarantee</w:t>
      </w:r>
    </w:p>
    <w:p w14:paraId="7B59CF2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3F6D3388" w14:textId="77777777" w:rsidR="000F115C" w:rsidRPr="008F63C2" w:rsidRDefault="000F115C" w:rsidP="000F115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0000FF"/>
          <w:kern w:val="0"/>
          <w:sz w:val="24"/>
          <w:szCs w:val="24"/>
          <w:u w:val="single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begin"/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instrText xml:space="preserve"> HYPERLINK "https://iclr.cc/virtual/2026/poster/10009145" \t "_blank" </w:instrText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</w: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separate"/>
      </w:r>
    </w:p>
    <w:p w14:paraId="5B5EC7F0" w14:textId="77777777" w:rsidR="000F115C" w:rsidRPr="008F63C2" w:rsidRDefault="000F115C" w:rsidP="000F115C">
      <w:pPr>
        <w:widowControl/>
        <w:shd w:val="clear" w:color="auto" w:fill="FFFFFF"/>
        <w:spacing w:before="150"/>
        <w:jc w:val="left"/>
        <w:outlineLvl w:val="4"/>
        <w:rPr>
          <w:rFonts w:ascii="宋体" w:eastAsia="宋体" w:hAnsi="宋体" w:cs="宋体" w:hint="eastAsia"/>
          <w:kern w:val="0"/>
          <w:sz w:val="26"/>
          <w:szCs w:val="26"/>
        </w:rPr>
      </w:pPr>
      <w:r w:rsidRPr="008F63C2">
        <w:rPr>
          <w:rFonts w:ascii="Exo" w:eastAsia="宋体" w:hAnsi="Exo" w:cs="宋体"/>
          <w:color w:val="0000FF"/>
          <w:kern w:val="0"/>
          <w:sz w:val="26"/>
          <w:szCs w:val="26"/>
          <w:u w:val="single"/>
        </w:rPr>
        <w:t>Unmasking Backdoors: An Explainable Defense via Gradient-Attention Anomaly Scoring for Pre-trained Language Models</w:t>
      </w:r>
    </w:p>
    <w:p w14:paraId="2F5D0E3E" w14:textId="3395D5F5" w:rsidR="000F115C" w:rsidRPr="008F63C2" w:rsidRDefault="000F115C" w:rsidP="000F115C">
      <w:pPr>
        <w:widowControl/>
        <w:shd w:val="clear" w:color="auto" w:fill="FFFFFF"/>
        <w:jc w:val="left"/>
        <w:rPr>
          <w:rFonts w:ascii="Exo" w:eastAsia="宋体" w:hAnsi="Exo" w:cs="宋体" w:hint="eastAsia"/>
          <w:color w:val="212529"/>
          <w:kern w:val="0"/>
          <w:sz w:val="20"/>
          <w:szCs w:val="20"/>
        </w:rPr>
      </w:pPr>
      <w:r w:rsidRPr="008F63C2">
        <w:rPr>
          <w:rFonts w:ascii="Exo" w:eastAsia="宋体" w:hAnsi="Exo" w:cs="宋体" w:hint="eastAsia"/>
          <w:color w:val="212529"/>
          <w:kern w:val="0"/>
          <w:sz w:val="20"/>
          <w:szCs w:val="20"/>
        </w:rPr>
        <w:fldChar w:fldCharType="end"/>
      </w:r>
    </w:p>
    <w:p w14:paraId="0D5AF660" w14:textId="77777777" w:rsidR="000F115C" w:rsidRDefault="000F115C">
      <w:pPr>
        <w:rPr>
          <w:rFonts w:hint="eastAsia"/>
        </w:rPr>
      </w:pPr>
    </w:p>
    <w:sectPr w:rsidR="000F11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xo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AB2A92"/>
    <w:multiLevelType w:val="hybridMultilevel"/>
    <w:tmpl w:val="D48477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69525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5C"/>
    <w:rsid w:val="0000319F"/>
    <w:rsid w:val="000F115C"/>
    <w:rsid w:val="001A57B0"/>
    <w:rsid w:val="002C7339"/>
    <w:rsid w:val="00580287"/>
    <w:rsid w:val="005B0955"/>
    <w:rsid w:val="008A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1015F"/>
  <w15:chartTrackingRefBased/>
  <w15:docId w15:val="{F842D777-442A-4A10-8CD7-5794B256B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15C"/>
    <w:pPr>
      <w:widowControl w:val="0"/>
      <w:jc w:val="both"/>
    </w:pPr>
  </w:style>
  <w:style w:type="paragraph" w:styleId="5">
    <w:name w:val="heading 5"/>
    <w:basedOn w:val="a"/>
    <w:link w:val="50"/>
    <w:uiPriority w:val="9"/>
    <w:qFormat/>
    <w:rsid w:val="000F115C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0F115C"/>
    <w:pPr>
      <w:widowControl/>
      <w:spacing w:before="100" w:beforeAutospacing="1" w:after="100" w:afterAutospacing="1"/>
      <w:jc w:val="left"/>
      <w:outlineLvl w:val="5"/>
    </w:pPr>
    <w:rPr>
      <w:rFonts w:ascii="宋体" w:eastAsia="宋体" w:hAnsi="宋体" w:cs="宋体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标题 5 字符"/>
    <w:basedOn w:val="a0"/>
    <w:link w:val="5"/>
    <w:uiPriority w:val="9"/>
    <w:rsid w:val="000F115C"/>
    <w:rPr>
      <w:rFonts w:ascii="宋体" w:eastAsia="宋体" w:hAnsi="宋体" w:cs="宋体"/>
      <w:b/>
      <w:bCs/>
      <w:kern w:val="0"/>
      <w:sz w:val="20"/>
      <w:szCs w:val="20"/>
    </w:rPr>
  </w:style>
  <w:style w:type="character" w:customStyle="1" w:styleId="60">
    <w:name w:val="标题 6 字符"/>
    <w:basedOn w:val="a0"/>
    <w:link w:val="6"/>
    <w:uiPriority w:val="9"/>
    <w:rsid w:val="000F115C"/>
    <w:rPr>
      <w:rFonts w:ascii="宋体" w:eastAsia="宋体" w:hAnsi="宋体" w:cs="宋体"/>
      <w:b/>
      <w:bCs/>
      <w:kern w:val="0"/>
      <w:sz w:val="15"/>
      <w:szCs w:val="15"/>
    </w:rPr>
  </w:style>
  <w:style w:type="paragraph" w:styleId="a3">
    <w:name w:val="List Paragraph"/>
    <w:basedOn w:val="a"/>
    <w:uiPriority w:val="34"/>
    <w:qFormat/>
    <w:rsid w:val="000F11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2610</Words>
  <Characters>14881</Characters>
  <Application>Microsoft Office Word</Application>
  <DocSecurity>0</DocSecurity>
  <Lines>124</Lines>
  <Paragraphs>34</Paragraphs>
  <ScaleCrop>false</ScaleCrop>
  <Company/>
  <LinksUpToDate>false</LinksUpToDate>
  <CharactersWithSpaces>17457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</dc:creator>
  <cp:keywords/>
  <dc:description/>
  <cp:lastModifiedBy>RoyXia</cp:lastModifiedBy>
  <cp:revision>4</cp:revision>
  <dcterms:created xsi:type="dcterms:W3CDTF">2026-03-01T13:11:00Z</dcterms:created>
  <dcterms:modified xsi:type="dcterms:W3CDTF">2026-03-01T14:23:00Z</dcterms:modified>
</cp:coreProperties>
</file>