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Calibri" w:cs="Calibri" w:eastAsia="Calibri" w:hAnsi="Calibri"/>
          <w:b/>
          <w:bCs/>
          <w:color w:val="1F4E79"/>
          <w:sz w:val="44"/>
          <w:szCs w:val="44"/>
        </w:rPr>
        <w:t xml:space="preserve">CUSTOMER SHOPPING BEHAVIOR ANALYSIS</w:t>
      </w:r>
    </w:p>
    <w:p>
      <w:pPr>
        <w:spacing w:after="120" w:before="0"/>
        <w:jc w:val="center"/>
      </w:pPr>
      <w:r>
        <w:rPr>
          <w:rFonts w:ascii="Calibri" w:cs="Calibri" w:eastAsia="Calibri" w:hAnsi="Calibri"/>
          <w:i/>
          <w:iCs/>
          <w:color w:val="2E86C1"/>
          <w:sz w:val="32"/>
          <w:szCs w:val="32"/>
        </w:rPr>
        <w:t xml:space="preserve">Project Report</w:t>
      </w:r>
    </w:p>
    <w:p>
      <w:pPr>
        <w:spacing w:after="80" w:before="240"/>
        <w:jc w:val="center"/>
      </w:pPr>
      <w:r>
        <w:rPr>
          <w:rFonts w:ascii="Calibri" w:cs="Calibri" w:eastAsia="Calibri" w:hAnsi="Calibri"/>
          <w:color w:val="5D6D7E"/>
          <w:sz w:val="24"/>
          <w:szCs w:val="24"/>
        </w:rPr>
        <w:t xml:space="preserve">Leveraging Consumer Data to Drive Business Strategy</w:t>
      </w:r>
    </w:p>
    <w:p>
      <w:r>
        <w:t xml:space="preserve"/>
      </w:r>
    </w:p>
    <w:p>
      <w:r>
        <w:t xml:space="preserve"/>
      </w:r>
    </w:p>
    <w:p>
      <w:pPr>
        <w:jc w:val="center"/>
      </w:pPr>
      <w:r>
        <w:rPr>
          <w:color w:val="D6E4F0"/>
          <w:sz w:val="22"/>
          <w:szCs w:val="22"/>
        </w:rPr>
        <w:t xml:space="preserve">─────────────────────────────</w:t>
      </w:r>
    </w:p>
    <w:p>
      <w:r>
        <w:t xml:space="preserve"/>
      </w:r>
    </w:p>
    <w:p>
      <w:pPr>
        <w:jc w:val="center"/>
      </w:pPr>
      <w:r>
        <w:rPr>
          <w:rFonts w:ascii="Calibri" w:cs="Calibri" w:eastAsia="Calibri" w:hAnsi="Calibri"/>
          <w:color w:val="5D6D7E"/>
          <w:sz w:val="22"/>
          <w:szCs w:val="22"/>
        </w:rPr>
        <w:t xml:space="preserve">Dataset: 3,900 Customer Records  |  18 Variables</w:t>
      </w:r>
    </w:p>
    <w:p>
      <w:pPr>
        <w:jc w:val="center"/>
      </w:pPr>
      <w:r>
        <w:rPr>
          <w:rFonts w:ascii="Calibri" w:cs="Calibri" w:eastAsia="Calibri" w:hAnsi="Calibri"/>
          <w:color w:val="5D6D7E"/>
          <w:sz w:val="22"/>
          <w:szCs w:val="22"/>
        </w:rPr>
        <w:t xml:space="preserve">Total Revenue Analyzed: $233,081</w:t>
      </w:r>
    </w:p>
    <w:p>
      <w:r>
        <w:t xml:space="preserve"/>
      </w:r>
    </w:p>
    <w:p>
      <w:pPr>
        <w:jc w:val="center"/>
      </w:pPr>
      <w:r>
        <w:rPr>
          <w:rFonts w:ascii="Calibri" w:cs="Calibri" w:eastAsia="Calibri" w:hAnsi="Calibri"/>
          <w:color w:val="5D6D7E"/>
          <w:sz w:val="22"/>
          <w:szCs w:val="22"/>
        </w:rPr>
        <w:t xml:space="preserve">2024</w:t>
      </w:r>
    </w:p>
    <w:p>
      <w:r>
        <w:br w:type="page"/>
      </w:r>
    </w:p>
    <w:p>
      <w:pPr>
        <w:pStyle w:val="Heading1"/>
        <w:spacing w:after="120" w:before="360"/>
      </w:pPr>
      <w:r>
        <w:rPr>
          <w:rFonts w:ascii="Calibri" w:cs="Calibri" w:eastAsia="Calibri" w:hAnsi="Calibri"/>
          <w:b/>
          <w:bCs/>
          <w:color w:val="1F4E79"/>
          <w:sz w:val="32"/>
          <w:szCs w:val="32"/>
        </w:rPr>
        <w:t xml:space="preserve">1. Executive Summary</w:t>
      </w:r>
    </w:p>
    <w:p>
      <w:pPr>
        <w:spacing w:after="80" w:before="80"/>
      </w:pPr>
      <w:r>
        <w:rPr>
          <w:rFonts w:ascii="Calibri" w:cs="Calibri" w:eastAsia="Calibri" w:hAnsi="Calibri"/>
          <w:color w:val="2C3E50"/>
          <w:sz w:val="22"/>
          <w:szCs w:val="22"/>
        </w:rPr>
        <w:t xml:space="preserve">This report presents a comprehensive analysis of a retail company's consumer shopping behavior dataset comprising 3,900 customer records and 18 distinct variables. The goal was to uncover actionable insights on purchasing patterns, customer segmentation, loyalty drivers, and product performance to support evidence-based marketing and operational decisions.</w:t>
      </w:r>
    </w:p>
    <w:p>
      <w:r>
        <w:t xml:space="preserve"/>
      </w:r>
    </w:p>
    <w:p>
      <w:pPr>
        <w:spacing w:after="80" w:before="80"/>
      </w:pPr>
      <w:r>
        <w:rPr>
          <w:rFonts w:ascii="Calibri" w:cs="Calibri" w:eastAsia="Calibri" w:hAnsi="Calibri"/>
          <w:b/>
          <w:bCs/>
          <w:color w:val="2C3E50"/>
          <w:sz w:val="22"/>
          <w:szCs w:val="22"/>
        </w:rPr>
        <w:t xml:space="preserve">Key findings at a glance:</w:t>
      </w:r>
    </w:p>
    <w:p>
      <w:pPr>
        <w:pStyle w:val="ListParagraph"/>
        <w:numPr>
          <w:ilvl w:val="0"/>
          <w:numId w:val="2"/>
        </w:numPr>
        <w:spacing w:after="60" w:before="60"/>
      </w:pPr>
      <w:r>
        <w:rPr>
          <w:rFonts w:ascii="Calibri" w:cs="Calibri" w:eastAsia="Calibri" w:hAnsi="Calibri"/>
          <w:color w:val="2C3E50"/>
          <w:sz w:val="22"/>
          <w:szCs w:val="22"/>
        </w:rPr>
        <w:t xml:space="preserve">Total revenue stands at $233,081 with an average purchase value of $59.76 per transaction.</w:t>
      </w:r>
    </w:p>
    <w:p>
      <w:pPr>
        <w:pStyle w:val="ListParagraph"/>
        <w:numPr>
          <w:ilvl w:val="0"/>
          <w:numId w:val="2"/>
        </w:numPr>
        <w:spacing w:after="60" w:before="60"/>
      </w:pPr>
      <w:r>
        <w:rPr>
          <w:rFonts w:ascii="Calibri" w:cs="Calibri" w:eastAsia="Calibri" w:hAnsi="Calibri"/>
          <w:color w:val="2C3E50"/>
          <w:sz w:val="22"/>
          <w:szCs w:val="22"/>
        </w:rPr>
        <w:t xml:space="preserve">Male customers account for 67.7% of the customer base and generate $157,890 (67.7%) of total revenue.</w:t>
      </w:r>
    </w:p>
    <w:p>
      <w:pPr>
        <w:pStyle w:val="ListParagraph"/>
        <w:numPr>
          <w:ilvl w:val="0"/>
          <w:numId w:val="2"/>
        </w:numPr>
        <w:spacing w:after="60" w:before="60"/>
      </w:pPr>
      <w:r>
        <w:rPr>
          <w:rFonts w:ascii="Calibri" w:cs="Calibri" w:eastAsia="Calibri" w:hAnsi="Calibri"/>
          <w:color w:val="2C3E50"/>
          <w:sz w:val="22"/>
          <w:szCs w:val="22"/>
        </w:rPr>
        <w:t xml:space="preserve">80% of customers are 'Loyal' (11+ previous purchases), reflecting a strong repeat-purchase base.</w:t>
      </w:r>
    </w:p>
    <w:p>
      <w:pPr>
        <w:pStyle w:val="ListParagraph"/>
        <w:numPr>
          <w:ilvl w:val="0"/>
          <w:numId w:val="2"/>
        </w:numPr>
        <w:spacing w:after="60" w:before="60"/>
      </w:pPr>
      <w:r>
        <w:rPr>
          <w:rFonts w:ascii="Calibri" w:cs="Calibri" w:eastAsia="Calibri" w:hAnsi="Calibri"/>
          <w:color w:val="2C3E50"/>
          <w:sz w:val="22"/>
          <w:szCs w:val="22"/>
        </w:rPr>
        <w:t xml:space="preserve">Subscription status has minimal impact on average spend ($59.49 subscribed vs. $59.87 non-subscribed).</w:t>
      </w:r>
    </w:p>
    <w:p>
      <w:pPr>
        <w:pStyle w:val="ListParagraph"/>
        <w:numPr>
          <w:ilvl w:val="0"/>
          <w:numId w:val="2"/>
        </w:numPr>
        <w:spacing w:after="60" w:before="60"/>
      </w:pPr>
      <w:r>
        <w:rPr>
          <w:rFonts w:ascii="Calibri" w:cs="Calibri" w:eastAsia="Calibri" w:hAnsi="Calibri"/>
          <w:color w:val="2C3E50"/>
          <w:sz w:val="22"/>
          <w:szCs w:val="22"/>
        </w:rPr>
        <w:t xml:space="preserve">Clothing is the dominant category (44.5% of all purchases), followed by Accessories (31.8%).</w:t>
      </w:r>
    </w:p>
    <w:p>
      <w:pPr>
        <w:pStyle w:val="ListParagraph"/>
        <w:numPr>
          <w:ilvl w:val="0"/>
          <w:numId w:val="2"/>
        </w:numPr>
        <w:spacing w:after="60" w:before="60"/>
      </w:pPr>
      <w:r>
        <w:rPr>
          <w:rFonts w:ascii="Calibri" w:cs="Calibri" w:eastAsia="Calibri" w:hAnsi="Calibri"/>
          <w:color w:val="2C3E50"/>
          <w:sz w:val="22"/>
          <w:szCs w:val="22"/>
        </w:rPr>
        <w:t xml:space="preserve">Seasonal purchase volume is evenly distributed, with Spring slightly leading at 999 transactions.</w:t>
      </w:r>
    </w:p>
    <w:p>
      <w:pPr>
        <w:pStyle w:val="ListParagraph"/>
        <w:numPr>
          <w:ilvl w:val="0"/>
          <w:numId w:val="2"/>
        </w:numPr>
        <w:spacing w:after="60" w:before="60"/>
      </w:pPr>
      <w:r>
        <w:rPr>
          <w:rFonts w:ascii="Calibri" w:cs="Calibri" w:eastAsia="Calibri" w:hAnsi="Calibri"/>
          <w:color w:val="2C3E50"/>
          <w:sz w:val="22"/>
          <w:szCs w:val="22"/>
        </w:rPr>
        <w:t xml:space="preserve">Gloves, Sandals, and Boots top the customer satisfaction ratings.</w:t>
      </w:r>
    </w:p>
    <w:p>
      <w:r>
        <w:t xml:space="preserve"/>
      </w:r>
    </w:p>
    <w:p>
      <w:r>
        <w:br w:type="page"/>
      </w:r>
    </w:p>
    <w:p>
      <w:pPr>
        <w:pStyle w:val="Heading1"/>
        <w:spacing w:after="120" w:before="360"/>
      </w:pPr>
      <w:r>
        <w:rPr>
          <w:rFonts w:ascii="Calibri" w:cs="Calibri" w:eastAsia="Calibri" w:hAnsi="Calibri"/>
          <w:b/>
          <w:bCs/>
          <w:color w:val="1F4E79"/>
          <w:sz w:val="32"/>
          <w:szCs w:val="32"/>
        </w:rPr>
        <w:t xml:space="preserve">2. Business Problem &amp; Objectives</w:t>
      </w:r>
    </w:p>
    <w:p>
      <w:pPr>
        <w:spacing w:after="80" w:before="80"/>
      </w:pPr>
      <w:r>
        <w:rPr>
          <w:rFonts w:ascii="Calibri" w:cs="Calibri" w:eastAsia="Calibri" w:hAnsi="Calibri"/>
          <w:color w:val="2C3E50"/>
          <w:sz w:val="22"/>
          <w:szCs w:val="22"/>
        </w:rPr>
        <w:t xml:space="preserve">A leading retail company sought to better understand its customers' shopping behavior in order to improve sales, customer satisfaction, and long-term loyalty. Management observed changes in purchasing patterns across demographics, product categories, and sales channels and needed data-driven clarity on which factors — discounts, reviews, seasons, payment preferences — drive consumer decisions and repeat purchases.</w:t>
      </w:r>
    </w:p>
    <w:p>
      <w:r>
        <w:t xml:space="preserve"/>
      </w:r>
    </w:p>
    <w:p>
      <w:pPr>
        <w:pStyle w:val="Heading2"/>
        <w:spacing w:after="100" w:before="240"/>
      </w:pPr>
      <w:r>
        <w:rPr>
          <w:rFonts w:ascii="Calibri" w:cs="Calibri" w:eastAsia="Calibri" w:hAnsi="Calibri"/>
          <w:b/>
          <w:bCs/>
          <w:color w:val="2E86C1"/>
          <w:sz w:val="26"/>
          <w:szCs w:val="26"/>
        </w:rPr>
        <w:t xml:space="preserve">2.1 Core Business Question</w:t>
      </w:r>
    </w:p>
    <w:p>
      <w:pPr>
        <w:spacing w:after="80" w:before="80"/>
      </w:pPr>
      <w:r>
        <w:rPr>
          <w:rFonts w:ascii="Calibri" w:cs="Calibri" w:eastAsia="Calibri" w:hAnsi="Calibri"/>
          <w:color w:val="2C3E50"/>
          <w:sz w:val="22"/>
          <w:szCs w:val="22"/>
        </w:rPr>
        <w:t xml:space="preserve">"How can the company leverage consumer shopping data to identify trends, improve customer engagement, and optimize marketing and product strategies?"</w:t>
      </w:r>
    </w:p>
    <w:p>
      <w:r>
        <w:t xml:space="preserve"/>
      </w:r>
    </w:p>
    <w:p>
      <w:pPr>
        <w:pStyle w:val="Heading2"/>
        <w:spacing w:after="100" w:before="240"/>
      </w:pPr>
      <w:r>
        <w:rPr>
          <w:rFonts w:ascii="Calibri" w:cs="Calibri" w:eastAsia="Calibri" w:hAnsi="Calibri"/>
          <w:b/>
          <w:bCs/>
          <w:color w:val="2E86C1"/>
          <w:sz w:val="26"/>
          <w:szCs w:val="26"/>
        </w:rPr>
        <w:t xml:space="preserve">2.2 Project Objectives</w:t>
      </w:r>
    </w:p>
    <w:p>
      <w:pPr>
        <w:pStyle w:val="ListParagraph"/>
        <w:numPr>
          <w:ilvl w:val="0"/>
          <w:numId w:val="2"/>
        </w:numPr>
        <w:spacing w:after="60" w:before="60"/>
      </w:pPr>
      <w:r>
        <w:rPr>
          <w:rFonts w:ascii="Calibri" w:cs="Calibri" w:eastAsia="Calibri" w:hAnsi="Calibri"/>
          <w:color w:val="2C3E50"/>
          <w:sz w:val="22"/>
          <w:szCs w:val="22"/>
        </w:rPr>
        <w:t xml:space="preserve">Analyze revenue distribution across gender, age group, and product category.</w:t>
      </w:r>
    </w:p>
    <w:p>
      <w:pPr>
        <w:pStyle w:val="ListParagraph"/>
        <w:numPr>
          <w:ilvl w:val="0"/>
          <w:numId w:val="2"/>
        </w:numPr>
        <w:spacing w:after="60" w:before="60"/>
      </w:pPr>
      <w:r>
        <w:rPr>
          <w:rFonts w:ascii="Calibri" w:cs="Calibri" w:eastAsia="Calibri" w:hAnsi="Calibri"/>
          <w:color w:val="2C3E50"/>
          <w:sz w:val="22"/>
          <w:szCs w:val="22"/>
        </w:rPr>
        <w:t xml:space="preserve">Identify high-performing products and categories by sales and review ratings.</w:t>
      </w:r>
    </w:p>
    <w:p>
      <w:pPr>
        <w:pStyle w:val="ListParagraph"/>
        <w:numPr>
          <w:ilvl w:val="0"/>
          <w:numId w:val="2"/>
        </w:numPr>
        <w:spacing w:after="60" w:before="60"/>
      </w:pPr>
      <w:r>
        <w:rPr>
          <w:rFonts w:ascii="Calibri" w:cs="Calibri" w:eastAsia="Calibri" w:hAnsi="Calibri"/>
          <w:color w:val="2C3E50"/>
          <w:sz w:val="22"/>
          <w:szCs w:val="22"/>
        </w:rPr>
        <w:t xml:space="preserve">Segment customers into behavioral cohorts (New, Returning, Loyal).</w:t>
      </w:r>
    </w:p>
    <w:p>
      <w:pPr>
        <w:pStyle w:val="ListParagraph"/>
        <w:numPr>
          <w:ilvl w:val="0"/>
          <w:numId w:val="2"/>
        </w:numPr>
        <w:spacing w:after="60" w:before="60"/>
      </w:pPr>
      <w:r>
        <w:rPr>
          <w:rFonts w:ascii="Calibri" w:cs="Calibri" w:eastAsia="Calibri" w:hAnsi="Calibri"/>
          <w:color w:val="2C3E50"/>
          <w:sz w:val="22"/>
          <w:szCs w:val="22"/>
        </w:rPr>
        <w:t xml:space="preserve">Evaluate the impact of discounts and subscriptions on purchasing behavior.</w:t>
      </w:r>
    </w:p>
    <w:p>
      <w:pPr>
        <w:pStyle w:val="ListParagraph"/>
        <w:numPr>
          <w:ilvl w:val="0"/>
          <w:numId w:val="2"/>
        </w:numPr>
        <w:spacing w:after="60" w:before="60"/>
      </w:pPr>
      <w:r>
        <w:rPr>
          <w:rFonts w:ascii="Calibri" w:cs="Calibri" w:eastAsia="Calibri" w:hAnsi="Calibri"/>
          <w:color w:val="2C3E50"/>
          <w:sz w:val="22"/>
          <w:szCs w:val="22"/>
        </w:rPr>
        <w:t xml:space="preserve">Derive actionable marketing and product recommendations.</w:t>
      </w:r>
    </w:p>
    <w:p>
      <w:r>
        <w:t xml:space="preserve"/>
      </w:r>
    </w:p>
    <w:p>
      <w:r>
        <w:br w:type="page"/>
      </w:r>
    </w:p>
    <w:p>
      <w:pPr>
        <w:pStyle w:val="Heading1"/>
        <w:spacing w:after="120" w:before="360"/>
      </w:pPr>
      <w:r>
        <w:rPr>
          <w:rFonts w:ascii="Calibri" w:cs="Calibri" w:eastAsia="Calibri" w:hAnsi="Calibri"/>
          <w:b/>
          <w:bCs/>
          <w:color w:val="1F4E79"/>
          <w:sz w:val="32"/>
          <w:szCs w:val="32"/>
        </w:rPr>
        <w:t xml:space="preserve">3. Dataset Overview</w:t>
      </w:r>
    </w:p>
    <w:p>
      <w:pPr>
        <w:spacing w:after="80" w:before="80"/>
      </w:pPr>
      <w:r>
        <w:rPr>
          <w:rFonts w:ascii="Calibri" w:cs="Calibri" w:eastAsia="Calibri" w:hAnsi="Calibri"/>
          <w:color w:val="2C3E50"/>
          <w:sz w:val="22"/>
          <w:szCs w:val="22"/>
        </w:rPr>
        <w:t xml:space="preserve">The dataset contains 3,900 customer transaction records with 18 fields spanning demographic, transactional, and behavioral attributes.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400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5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Customer ID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Unique customer identifier</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Numeric</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Age</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Customer age in years</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Numeric</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Gender</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Male / Female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Item Purchased</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Specific product bought</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Category</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Product category</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Purchase Amount (USD)</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Transaction value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Numeric</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Location</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US state of purchase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Season</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Season of purchase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Review Rating</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Customer rating (1–5)</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Numeric</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Subscription Status</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Yes / No</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Shipping Type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Method of delivery</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Discount Applied</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Yes / No</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Promo Code Used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Yes / No</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Previous Purchases</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Count of prior transactions</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Numeric</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Payment Method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Method of payment</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Frequency of Purchases</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Purchase cadence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Categorical</w:t>
            </w:r>
          </w:p>
        </w:tc>
      </w:tr>
    </w:tbl>
    <w:p>
      <w:r>
        <w:t xml:space="preserve"/>
      </w:r>
    </w:p>
    <w:p>
      <w:r>
        <w:br w:type="page"/>
      </w:r>
    </w:p>
    <w:p>
      <w:pPr>
        <w:pStyle w:val="Heading1"/>
        <w:spacing w:after="120" w:before="360"/>
      </w:pPr>
      <w:r>
        <w:rPr>
          <w:rFonts w:ascii="Calibri" w:cs="Calibri" w:eastAsia="Calibri" w:hAnsi="Calibri"/>
          <w:b/>
          <w:bCs/>
          <w:color w:val="1F4E79"/>
          <w:sz w:val="32"/>
          <w:szCs w:val="32"/>
        </w:rPr>
        <w:t xml:space="preserve">4. Key Findings &amp; SQL Insights</w:t>
      </w:r>
    </w:p>
    <w:p>
      <w:pPr>
        <w:pStyle w:val="Heading2"/>
        <w:spacing w:after="100" w:before="240"/>
      </w:pPr>
      <w:r>
        <w:rPr>
          <w:rFonts w:ascii="Calibri" w:cs="Calibri" w:eastAsia="Calibri" w:hAnsi="Calibri"/>
          <w:b/>
          <w:bCs/>
          <w:color w:val="2E86C1"/>
          <w:sz w:val="26"/>
          <w:szCs w:val="26"/>
        </w:rPr>
        <w:t xml:space="preserve">4.1 Revenue by Gender</w:t>
      </w:r>
    </w:p>
    <w:p>
      <w:pPr>
        <w:spacing w:after="80" w:before="80"/>
      </w:pPr>
      <w:r>
        <w:rPr>
          <w:rFonts w:ascii="Calibri" w:cs="Calibri" w:eastAsia="Calibri" w:hAnsi="Calibri"/>
          <w:color w:val="2C3E50"/>
          <w:sz w:val="22"/>
          <w:szCs w:val="22"/>
        </w:rPr>
        <w:t xml:space="preserve">Male customers dominate both transaction volume and revenue contribution. Despite representing roughly two-thirds of the customer base, revenue per transaction is nearly identical across genders, suggesting pricing and product mix are gender-neutral.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Gender</w:t>
            </w:r>
          </w:p>
        </w:tc>
        <w:tc>
          <w:tcPr>
            <w:tcW w:type="dxa" w:w="23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Customers</w:t>
            </w:r>
          </w:p>
        </w:tc>
        <w:tc>
          <w:tcPr>
            <w:tcW w:type="dxa" w:w="23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Total Revenue (USD)</w:t>
            </w:r>
          </w:p>
        </w:tc>
        <w:tc>
          <w:tcPr>
            <w:tcW w:type="dxa" w:w="23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Share (%)</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Male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2,652</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$157,890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67.7%</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Female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1,248</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$75,191</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32.3%</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Total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3,900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$233,081</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100%</w:t>
            </w:r>
          </w:p>
        </w:tc>
      </w:tr>
    </w:tbl>
    <w:p>
      <w:r>
        <w:t xml:space="preserve"/>
      </w:r>
    </w:p>
    <w:p>
      <w:pPr>
        <w:spacing w:after="80" w:before="80"/>
      </w:pPr>
      <w:r>
        <w:rPr>
          <w:rFonts w:ascii="Calibri" w:cs="Calibri" w:eastAsia="Calibri" w:hAnsi="Calibri"/>
          <w:color w:val="2C3E50"/>
          <w:sz w:val="22"/>
          <w:szCs w:val="22"/>
        </w:rPr>
        <w:t xml:space="preserve">Recommendation: The current customer acquisition strategy disproportionately attracts male shoppers. Targeted campaigns for female demographics could meaningfully expand the revenue base.</w:t>
      </w:r>
    </w:p>
    <w:p>
      <w:r>
        <w:t xml:space="preserve"/>
      </w:r>
    </w:p>
    <w:p>
      <w:pPr>
        <w:pStyle w:val="Heading2"/>
        <w:spacing w:after="100" w:before="240"/>
      </w:pPr>
      <w:r>
        <w:rPr>
          <w:rFonts w:ascii="Calibri" w:cs="Calibri" w:eastAsia="Calibri" w:hAnsi="Calibri"/>
          <w:b/>
          <w:bCs/>
          <w:color w:val="2E86C1"/>
          <w:sz w:val="26"/>
          <w:szCs w:val="26"/>
        </w:rPr>
        <w:t xml:space="preserve">4.2 Revenue by Age Group</w:t>
      </w:r>
    </w:p>
    <w:p>
      <w:pPr>
        <w:spacing w:after="80" w:before="80"/>
      </w:pPr>
      <w:r>
        <w:rPr>
          <w:rFonts w:ascii="Calibri" w:cs="Calibri" w:eastAsia="Calibri" w:hAnsi="Calibri"/>
          <w:color w:val="2C3E50"/>
          <w:sz w:val="22"/>
          <w:szCs w:val="22"/>
        </w:rPr>
        <w:t xml:space="preserve">The 55+ age group is the single largest revenue contributor, generating $69,590 (29.9%). This segment likely reflects loyal, high-frequency buyers with established purchasing habits. The 18–24 segment is the smallest contributor at $29,258, representing an opportunity for youth-targeted acquisition.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Age Group</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Revenue (USD)</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Share (%)</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55+</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$69,590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29.9%</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25–34</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$45,400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19.5%</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45–54</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$45,370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19.5%</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35–44</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$43,463</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18.7%</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18–24</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$29,258</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12.6%</w:t>
            </w:r>
          </w:p>
        </w:tc>
      </w:tr>
    </w:tbl>
    <w:p>
      <w:r>
        <w:t xml:space="preserve"/>
      </w:r>
    </w:p>
    <w:p>
      <w:pPr>
        <w:pStyle w:val="Heading2"/>
        <w:spacing w:after="100" w:before="240"/>
      </w:pPr>
      <w:r>
        <w:rPr>
          <w:rFonts w:ascii="Calibri" w:cs="Calibri" w:eastAsia="Calibri" w:hAnsi="Calibri"/>
          <w:b/>
          <w:bCs/>
          <w:color w:val="2E86C1"/>
          <w:sz w:val="26"/>
          <w:szCs w:val="26"/>
        </w:rPr>
        <w:t xml:space="preserve">4.3 Customer Segmentation</w:t>
      </w:r>
    </w:p>
    <w:p>
      <w:pPr>
        <w:spacing w:after="80" w:before="80"/>
      </w:pPr>
      <w:r>
        <w:rPr>
          <w:rFonts w:ascii="Calibri" w:cs="Calibri" w:eastAsia="Calibri" w:hAnsi="Calibri"/>
          <w:color w:val="2C3E50"/>
          <w:sz w:val="22"/>
          <w:szCs w:val="22"/>
        </w:rPr>
        <w:t xml:space="preserve">Using previous purchase count as a proxy for loyalty, customers were classified into three behavioral segments. The vast majority (80%) are classified as Loyal — a positive signal, though it may also reflect data skew toward mature customers in the sample.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Segment</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Criteria (Previous Purchases)</w:t>
            </w:r>
          </w:p>
        </w:tc>
        <w:tc>
          <w:tcPr>
            <w:tcW w:type="dxa" w:w="15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Count</w:t>
            </w:r>
          </w:p>
        </w:tc>
        <w:tc>
          <w:tcPr>
            <w:tcW w:type="dxa" w:w="23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Share (%)</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New</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0–1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83</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2.1%</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Returning</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2–10</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701</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18.0%</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Loyal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3,116</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79.9%</w:t>
            </w:r>
          </w:p>
        </w:tc>
      </w:tr>
    </w:tbl>
    <w:p>
      <w:r>
        <w:t xml:space="preserve"/>
      </w:r>
    </w:p>
    <w:p>
      <w:pPr>
        <w:spacing w:after="80" w:before="80"/>
      </w:pPr>
      <w:r>
        <w:rPr>
          <w:rFonts w:ascii="Calibri" w:cs="Calibri" w:eastAsia="Calibri" w:hAnsi="Calibri"/>
          <w:color w:val="2C3E50"/>
          <w:sz w:val="22"/>
          <w:szCs w:val="22"/>
        </w:rPr>
        <w:t xml:space="preserve">Recommendation: With very few 'New' customers, the company should invest in top-of-funnel acquisition. Retention programs for 'Returning' customers can convert them to 'Loyal' status.</w:t>
      </w:r>
    </w:p>
    <w:p>
      <w:r>
        <w:t xml:space="preserve"/>
      </w:r>
    </w:p>
    <w:p>
      <w:pPr>
        <w:pStyle w:val="Heading2"/>
        <w:spacing w:after="100" w:before="240"/>
      </w:pPr>
      <w:r>
        <w:rPr>
          <w:rFonts w:ascii="Calibri" w:cs="Calibri" w:eastAsia="Calibri" w:hAnsi="Calibri"/>
          <w:b/>
          <w:bCs/>
          <w:color w:val="2E86C1"/>
          <w:sz w:val="26"/>
          <w:szCs w:val="26"/>
        </w:rPr>
        <w:t xml:space="preserve">4.4 Subscription &amp; Spending Behavior</w:t>
      </w:r>
    </w:p>
    <w:p>
      <w:pPr>
        <w:spacing w:after="80" w:before="80"/>
      </w:pPr>
      <w:r>
        <w:rPr>
          <w:rFonts w:ascii="Calibri" w:cs="Calibri" w:eastAsia="Calibri" w:hAnsi="Calibri"/>
          <w:color w:val="2C3E50"/>
          <w:sz w:val="22"/>
          <w:szCs w:val="22"/>
        </w:rPr>
        <w:t xml:space="preserve">Subscribed customers (27% of the base) spend marginally less on average than non-subscribers. This challenges the assumption that subscription drives higher spend and suggests the subscription offering may need richer benefits or exclusive perks to justify and reinforce loyalty.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2106"/>
        <w:gridCol w:w="2106"/>
      </w:tblGrid>
      <w:tr>
        <w:trPr>
          <w:tblHeader/>
        </w:trPr>
        <w:tc>
          <w:tcPr>
            <w:tcW w:type="dxa" w:w="2808"/>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Subscription Status</w:t>
            </w:r>
          </w:p>
        </w:tc>
        <w:tc>
          <w:tcPr>
            <w:tcW w:type="dxa" w:w="234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Customers</w:t>
            </w:r>
          </w:p>
        </w:tc>
        <w:tc>
          <w:tcPr>
            <w:tcW w:type="dxa" w:w="2106"/>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Avg Purchase (USD)</w:t>
            </w:r>
          </w:p>
        </w:tc>
        <w:tc>
          <w:tcPr>
            <w:tcW w:type="dxa" w:w="2106"/>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Total Revenue (USD)</w:t>
            </w:r>
          </w:p>
        </w:tc>
      </w:tr>
      <w:tr>
        <w:tc>
          <w:tcPr>
            <w:tcW w:type="dxa" w:w="280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Subscribed (Yes)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1,053</w:t>
            </w:r>
          </w:p>
        </w:tc>
        <w:tc>
          <w:tcPr>
            <w:tcW w:type="dxa" w:w="21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$59.49</w:t>
            </w:r>
          </w:p>
        </w:tc>
        <w:tc>
          <w:tcPr>
            <w:tcW w:type="dxa" w:w="21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$62,645</w:t>
            </w:r>
          </w:p>
        </w:tc>
      </w:tr>
      <w:tr>
        <w:tc>
          <w:tcPr>
            <w:tcW w:type="dxa" w:w="2808"/>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Not Subscribed (No)</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2,847</w:t>
            </w:r>
          </w:p>
        </w:tc>
        <w:tc>
          <w:tcPr>
            <w:tcW w:type="dxa" w:w="210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$59.87</w:t>
            </w:r>
          </w:p>
        </w:tc>
        <w:tc>
          <w:tcPr>
            <w:tcW w:type="dxa" w:w="210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$170,436</w:t>
            </w:r>
          </w:p>
        </w:tc>
      </w:tr>
    </w:tbl>
    <w:p>
      <w:r>
        <w:t xml:space="preserve"/>
      </w:r>
    </w:p>
    <w:p>
      <w:pPr>
        <w:pStyle w:val="Heading2"/>
        <w:spacing w:after="100" w:before="240"/>
      </w:pPr>
      <w:r>
        <w:rPr>
          <w:rFonts w:ascii="Calibri" w:cs="Calibri" w:eastAsia="Calibri" w:hAnsi="Calibri"/>
          <w:b/>
          <w:bCs/>
          <w:color w:val="2E86C1"/>
          <w:sz w:val="26"/>
          <w:szCs w:val="26"/>
        </w:rPr>
        <w:t xml:space="preserve">4.5 Discount Impact</w:t>
      </w:r>
    </w:p>
    <w:p>
      <w:pPr>
        <w:spacing w:after="80" w:before="80"/>
      </w:pPr>
      <w:r>
        <w:rPr>
          <w:rFonts w:ascii="Calibri" w:cs="Calibri" w:eastAsia="Calibri" w:hAnsi="Calibri"/>
          <w:color w:val="2C3E50"/>
          <w:sz w:val="22"/>
          <w:szCs w:val="22"/>
        </w:rPr>
        <w:t xml:space="preserve">43% of transactions involved a discount, yet the SQL analysis shows that numerous customers who used discounts still spent above the average purchase amount of $59.76. This indicates that discounts are not simply attracting low-value purchases — they may be used strategically by high-intent buyers.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Discount Applied</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Transaction Count</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Share (%)</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Yes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1,677</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43.0%</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No</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2,223</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57.0%</w:t>
            </w:r>
          </w:p>
        </w:tc>
      </w:tr>
    </w:tbl>
    <w:p>
      <w:r>
        <w:t xml:space="preserve"/>
      </w:r>
    </w:p>
    <w:p>
      <w:pPr>
        <w:spacing w:after="80" w:before="80"/>
      </w:pPr>
      <w:r>
        <w:rPr>
          <w:rFonts w:ascii="Calibri" w:cs="Calibri" w:eastAsia="Calibri" w:hAnsi="Calibri"/>
          <w:color w:val="2C3E50"/>
          <w:sz w:val="22"/>
          <w:szCs w:val="22"/>
        </w:rPr>
        <w:t xml:space="preserve">Recommendation: Use targeted, time-limited discounts for high-value product categories rather than broad promotions, to preserve margins while maintaining conversion.</w:t>
      </w:r>
    </w:p>
    <w:p>
      <w:r>
        <w:t xml:space="preserve"/>
      </w:r>
    </w:p>
    <w:p>
      <w:pPr>
        <w:pStyle w:val="Heading2"/>
        <w:spacing w:after="100" w:before="240"/>
      </w:pPr>
      <w:r>
        <w:rPr>
          <w:rFonts w:ascii="Calibri" w:cs="Calibri" w:eastAsia="Calibri" w:hAnsi="Calibri"/>
          <w:b/>
          <w:bCs/>
          <w:color w:val="2E86C1"/>
          <w:sz w:val="26"/>
          <w:szCs w:val="26"/>
        </w:rPr>
        <w:t xml:space="preserve">4.6 Top Rated Products</w:t>
      </w:r>
    </w:p>
    <w:p>
      <w:pPr>
        <w:spacing w:after="80" w:before="80"/>
      </w:pPr>
      <w:r>
        <w:rPr>
          <w:rFonts w:ascii="Calibri" w:cs="Calibri" w:eastAsia="Calibri" w:hAnsi="Calibri"/>
          <w:color w:val="2C3E50"/>
          <w:sz w:val="22"/>
          <w:szCs w:val="22"/>
        </w:rPr>
        <w:t xml:space="preserve">Average review ratings are closely clustered between 3.75 and 3.86, suggesting generally positive but moderate satisfaction. The top-rated products are across Footwear and Accessories categories, pointing to quality perception in those segments.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Rank</w:t>
            </w:r>
          </w:p>
        </w:tc>
        <w:tc>
          <w:tcPr>
            <w:tcW w:type="dxa" w:w="46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Product</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Avg Review Rating</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Gloves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3.86</w:t>
            </w:r>
          </w:p>
        </w:tc>
      </w:tr>
      <w:tr>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2</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Sandals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3.84</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Boots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3.82</w:t>
            </w:r>
          </w:p>
        </w:tc>
      </w:tr>
      <w:tr>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Hat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3.80</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Skirt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3.79</w:t>
            </w:r>
          </w:p>
        </w:tc>
      </w:tr>
    </w:tbl>
    <w:p>
      <w:r>
        <w:t xml:space="preserve"/>
      </w:r>
    </w:p>
    <w:p>
      <w:pPr>
        <w:pStyle w:val="Heading2"/>
        <w:spacing w:after="100" w:before="240"/>
      </w:pPr>
      <w:r>
        <w:rPr>
          <w:rFonts w:ascii="Calibri" w:cs="Calibri" w:eastAsia="Calibri" w:hAnsi="Calibri"/>
          <w:b/>
          <w:bCs/>
          <w:color w:val="2E86C1"/>
          <w:sz w:val="26"/>
          <w:szCs w:val="26"/>
        </w:rPr>
        <w:t xml:space="preserve">4.7 Revenue by Category</w:t>
      </w:r>
    </w:p>
    <w:p>
      <w:pPr>
        <w:spacing w:after="80" w:before="80"/>
      </w:pPr>
      <w:r>
        <w:rPr>
          <w:rFonts w:ascii="Calibri" w:cs="Calibri" w:eastAsia="Calibri" w:hAnsi="Calibri"/>
          <w:color w:val="2C3E50"/>
          <w:sz w:val="22"/>
          <w:szCs w:val="22"/>
        </w:rPr>
        <w:t xml:space="preserve">Clothing dominates all purchases by volume. Accessories represent a significant revenue opportunity given the high item count (1,240 transactions). Outerwear is the smallest category and likely seasonal.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Transactions</w:t>
            </w:r>
          </w:p>
        </w:tc>
        <w:tc>
          <w:tcPr>
            <w:tcW w:type="dxa" w:w="312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Share (%)</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Clothing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1,737</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44.5%</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Accessories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1,240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31.8%</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Footwear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599</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15.4%</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Outerwear</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324</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8.3%</w:t>
            </w:r>
          </w:p>
        </w:tc>
      </w:tr>
    </w:tbl>
    <w:p>
      <w:r>
        <w:t xml:space="preserve"/>
      </w:r>
    </w:p>
    <w:p>
      <w:pPr>
        <w:pStyle w:val="Heading2"/>
        <w:spacing w:after="100" w:before="240"/>
      </w:pPr>
      <w:r>
        <w:rPr>
          <w:rFonts w:ascii="Calibri" w:cs="Calibri" w:eastAsia="Calibri" w:hAnsi="Calibri"/>
          <w:b/>
          <w:bCs/>
          <w:color w:val="2E86C1"/>
          <w:sz w:val="26"/>
          <w:szCs w:val="26"/>
        </w:rPr>
        <w:t xml:space="preserve">4.8 Repeat Buyers &amp; Subscription</w:t>
      </w:r>
    </w:p>
    <w:p>
      <w:pPr>
        <w:spacing w:after="80" w:before="80"/>
      </w:pPr>
      <w:r>
        <w:rPr>
          <w:rFonts w:ascii="Calibri" w:cs="Calibri" w:eastAsia="Calibri" w:hAnsi="Calibri"/>
          <w:color w:val="2C3E50"/>
          <w:sz w:val="22"/>
          <w:szCs w:val="22"/>
        </w:rPr>
        <w:t xml:space="preserve">Among repeat buyers (&gt;5 prior purchases), only 27.6% are subscribed. This reveals a missed retention opportunity: loyal, repeat customers are not being meaningfully converted to the subscription program.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Subscription Status</w:t>
            </w:r>
          </w:p>
        </w:tc>
        <w:tc>
          <w:tcPr>
            <w:tcW w:type="dxa" w:w="46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Repeat Buyers (&gt;5 Purchases)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Subscribed (Yes)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958 (27.6%)</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Not Subscribed (No)</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2,518 (72.4%)</w:t>
            </w:r>
          </w:p>
        </w:tc>
      </w:tr>
    </w:tbl>
    <w:p>
      <w:r>
        <w:t xml:space="preserve"/>
      </w:r>
    </w:p>
    <w:p>
      <w:pPr>
        <w:pStyle w:val="Heading2"/>
        <w:spacing w:after="100" w:before="240"/>
      </w:pPr>
      <w:r>
        <w:rPr>
          <w:rFonts w:ascii="Calibri" w:cs="Calibri" w:eastAsia="Calibri" w:hAnsi="Calibri"/>
          <w:b/>
          <w:bCs/>
          <w:color w:val="2E86C1"/>
          <w:sz w:val="26"/>
          <w:szCs w:val="26"/>
        </w:rPr>
        <w:t xml:space="preserve">4.9 Shipping Preference</w:t>
      </w:r>
    </w:p>
    <w:p>
      <w:pPr>
        <w:spacing w:after="80" w:before="80"/>
      </w:pPr>
      <w:r>
        <w:rPr>
          <w:rFonts w:ascii="Calibri" w:cs="Calibri" w:eastAsia="Calibri" w:hAnsi="Calibri"/>
          <w:color w:val="2C3E50"/>
          <w:sz w:val="22"/>
          <w:szCs w:val="22"/>
        </w:rPr>
        <w:t xml:space="preserve">All six shipping types are used almost equally, with Free Shipping slightly preferred. This uniform distribution suggests customers are not strongly price-sensitive to shipping costs, potentially because purchase amounts are high enough to absorb standard rates.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Shipping Type</w:t>
            </w:r>
          </w:p>
        </w:tc>
        <w:tc>
          <w:tcPr>
            <w:tcW w:type="dxa" w:w="4680"/>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Usage Count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Free Shipping</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675</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Standard</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654</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Store Pickup</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650</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Next Day Air</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648</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Express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646</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2-Day Shipping</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627</w:t>
            </w:r>
          </w:p>
        </w:tc>
      </w:tr>
    </w:tbl>
    <w:p>
      <w:r>
        <w:t xml:space="preserve"/>
      </w:r>
    </w:p>
    <w:p>
      <w:r>
        <w:br w:type="page"/>
      </w:r>
    </w:p>
    <w:p>
      <w:pPr>
        <w:pStyle w:val="Heading1"/>
        <w:spacing w:after="120" w:before="360"/>
      </w:pPr>
      <w:r>
        <w:rPr>
          <w:rFonts w:ascii="Calibri" w:cs="Calibri" w:eastAsia="Calibri" w:hAnsi="Calibri"/>
          <w:b/>
          <w:bCs/>
          <w:color w:val="1F4E79"/>
          <w:sz w:val="32"/>
          <w:szCs w:val="32"/>
        </w:rPr>
        <w:t xml:space="preserve">5. Business Recommendations</w:t>
      </w:r>
    </w:p>
    <w:p>
      <w:pPr>
        <w:pStyle w:val="Heading2"/>
        <w:spacing w:after="100" w:before="240"/>
      </w:pPr>
      <w:r>
        <w:rPr>
          <w:rFonts w:ascii="Calibri" w:cs="Calibri" w:eastAsia="Calibri" w:hAnsi="Calibri"/>
          <w:b/>
          <w:bCs/>
          <w:color w:val="2E86C1"/>
          <w:sz w:val="26"/>
          <w:szCs w:val="26"/>
        </w:rPr>
        <w:t xml:space="preserve">5.1 Improve Female Customer Acquisition</w:t>
      </w:r>
    </w:p>
    <w:p>
      <w:pPr>
        <w:pStyle w:val="ListParagraph"/>
        <w:numPr>
          <w:ilvl w:val="0"/>
          <w:numId w:val="2"/>
        </w:numPr>
        <w:spacing w:after="60" w:before="60"/>
      </w:pPr>
      <w:r>
        <w:rPr>
          <w:rFonts w:ascii="Calibri" w:cs="Calibri" w:eastAsia="Calibri" w:hAnsi="Calibri"/>
          <w:color w:val="2C3E50"/>
          <w:sz w:val="22"/>
          <w:szCs w:val="22"/>
        </w:rPr>
        <w:t xml:space="preserve">Launch gender-targeted campaigns (e.g., curated Clothing and Accessories collections for women).</w:t>
      </w:r>
    </w:p>
    <w:p>
      <w:pPr>
        <w:pStyle w:val="ListParagraph"/>
        <w:numPr>
          <w:ilvl w:val="0"/>
          <w:numId w:val="2"/>
        </w:numPr>
        <w:spacing w:after="60" w:before="60"/>
      </w:pPr>
      <w:r>
        <w:rPr>
          <w:rFonts w:ascii="Calibri" w:cs="Calibri" w:eastAsia="Calibri" w:hAnsi="Calibri"/>
          <w:color w:val="2C3E50"/>
          <w:sz w:val="22"/>
          <w:szCs w:val="22"/>
        </w:rPr>
        <w:t xml:space="preserve">Offer first-purchase incentives or referral bonuses targeting female demographics.</w:t>
      </w:r>
    </w:p>
    <w:p>
      <w:pPr>
        <w:pStyle w:val="ListParagraph"/>
        <w:numPr>
          <w:ilvl w:val="0"/>
          <w:numId w:val="2"/>
        </w:numPr>
        <w:spacing w:after="60" w:before="60"/>
      </w:pPr>
      <w:r>
        <w:rPr>
          <w:rFonts w:ascii="Calibri" w:cs="Calibri" w:eastAsia="Calibri" w:hAnsi="Calibri"/>
          <w:color w:val="2C3E50"/>
          <w:sz w:val="22"/>
          <w:szCs w:val="22"/>
        </w:rPr>
        <w:t xml:space="preserve">Analyze product mix preferences by gender to optimize catalog presentation.</w:t>
      </w:r>
    </w:p>
    <w:p>
      <w:r>
        <w:t xml:space="preserve"/>
      </w:r>
    </w:p>
    <w:p>
      <w:pPr>
        <w:pStyle w:val="Heading2"/>
        <w:spacing w:after="100" w:before="240"/>
      </w:pPr>
      <w:r>
        <w:rPr>
          <w:rFonts w:ascii="Calibri" w:cs="Calibri" w:eastAsia="Calibri" w:hAnsi="Calibri"/>
          <w:b/>
          <w:bCs/>
          <w:color w:val="2E86C1"/>
          <w:sz w:val="26"/>
          <w:szCs w:val="26"/>
        </w:rPr>
        <w:t xml:space="preserve">5.2 Strengthen Subscription Value Proposition</w:t>
      </w:r>
    </w:p>
    <w:p>
      <w:pPr>
        <w:pStyle w:val="ListParagraph"/>
        <w:numPr>
          <w:ilvl w:val="0"/>
          <w:numId w:val="2"/>
        </w:numPr>
        <w:spacing w:after="60" w:before="60"/>
      </w:pPr>
      <w:r>
        <w:rPr>
          <w:rFonts w:ascii="Calibri" w:cs="Calibri" w:eastAsia="Calibri" w:hAnsi="Calibri"/>
          <w:color w:val="2C3E50"/>
          <w:sz w:val="22"/>
          <w:szCs w:val="22"/>
        </w:rPr>
        <w:t xml:space="preserve">Introduce exclusive member-only discounts, early access to new collections, or free shipping perks for subscribers.</w:t>
      </w:r>
    </w:p>
    <w:p>
      <w:pPr>
        <w:pStyle w:val="ListParagraph"/>
        <w:numPr>
          <w:ilvl w:val="0"/>
          <w:numId w:val="2"/>
        </w:numPr>
        <w:spacing w:after="60" w:before="60"/>
      </w:pPr>
      <w:r>
        <w:rPr>
          <w:rFonts w:ascii="Calibri" w:cs="Calibri" w:eastAsia="Calibri" w:hAnsi="Calibri"/>
          <w:color w:val="2C3E50"/>
          <w:sz w:val="22"/>
          <w:szCs w:val="22"/>
        </w:rPr>
        <w:t xml:space="preserve">Create loyalty-tier structures: Bronze → Silver → Gold based on purchase frequency.</w:t>
      </w:r>
    </w:p>
    <w:p>
      <w:pPr>
        <w:pStyle w:val="ListParagraph"/>
        <w:numPr>
          <w:ilvl w:val="0"/>
          <w:numId w:val="2"/>
        </w:numPr>
        <w:spacing w:after="60" w:before="60"/>
      </w:pPr>
      <w:r>
        <w:rPr>
          <w:rFonts w:ascii="Calibri" w:cs="Calibri" w:eastAsia="Calibri" w:hAnsi="Calibri"/>
          <w:color w:val="2C3E50"/>
          <w:sz w:val="22"/>
          <w:szCs w:val="22"/>
        </w:rPr>
        <w:t xml:space="preserve">Target the 72% of repeat buyers who are not subscribed with personalized subscription offers.</w:t>
      </w:r>
    </w:p>
    <w:p>
      <w:r>
        <w:t xml:space="preserve"/>
      </w:r>
    </w:p>
    <w:p>
      <w:pPr>
        <w:pStyle w:val="Heading2"/>
        <w:spacing w:after="100" w:before="240"/>
      </w:pPr>
      <w:r>
        <w:rPr>
          <w:rFonts w:ascii="Calibri" w:cs="Calibri" w:eastAsia="Calibri" w:hAnsi="Calibri"/>
          <w:b/>
          <w:bCs/>
          <w:color w:val="2E86C1"/>
          <w:sz w:val="26"/>
          <w:szCs w:val="26"/>
        </w:rPr>
        <w:t xml:space="preserve">5.3 Invest in Youth Acquisition (18–24 Segment)</w:t>
      </w:r>
    </w:p>
    <w:p>
      <w:pPr>
        <w:pStyle w:val="ListParagraph"/>
        <w:numPr>
          <w:ilvl w:val="0"/>
          <w:numId w:val="2"/>
        </w:numPr>
        <w:spacing w:after="60" w:before="60"/>
      </w:pPr>
      <w:r>
        <w:rPr>
          <w:rFonts w:ascii="Calibri" w:cs="Calibri" w:eastAsia="Calibri" w:hAnsi="Calibri"/>
          <w:color w:val="2C3E50"/>
          <w:sz w:val="22"/>
          <w:szCs w:val="22"/>
        </w:rPr>
        <w:t xml:space="preserve">Leverage social media channels (Instagram, TikTok) for product discovery campaigns.</w:t>
      </w:r>
    </w:p>
    <w:p>
      <w:pPr>
        <w:pStyle w:val="ListParagraph"/>
        <w:numPr>
          <w:ilvl w:val="0"/>
          <w:numId w:val="2"/>
        </w:numPr>
        <w:spacing w:after="60" w:before="60"/>
      </w:pPr>
      <w:r>
        <w:rPr>
          <w:rFonts w:ascii="Calibri" w:cs="Calibri" w:eastAsia="Calibri" w:hAnsi="Calibri"/>
          <w:color w:val="2C3E50"/>
          <w:sz w:val="22"/>
          <w:szCs w:val="22"/>
        </w:rPr>
        <w:t xml:space="preserve">Introduce student discounts or trend-forward capsule collections to attract younger shoppers.</w:t>
      </w:r>
    </w:p>
    <w:p>
      <w:pPr>
        <w:pStyle w:val="ListParagraph"/>
        <w:numPr>
          <w:ilvl w:val="0"/>
          <w:numId w:val="2"/>
        </w:numPr>
        <w:spacing w:after="60" w:before="60"/>
      </w:pPr>
      <w:r>
        <w:rPr>
          <w:rFonts w:ascii="Calibri" w:cs="Calibri" w:eastAsia="Calibri" w:hAnsi="Calibri"/>
          <w:color w:val="2C3E50"/>
          <w:sz w:val="22"/>
          <w:szCs w:val="22"/>
        </w:rPr>
        <w:t xml:space="preserve">Consider influencer partnerships to build brand awareness in this demographic.</w:t>
      </w:r>
    </w:p>
    <w:p>
      <w:r>
        <w:t xml:space="preserve"/>
      </w:r>
    </w:p>
    <w:p>
      <w:pPr>
        <w:pStyle w:val="Heading2"/>
        <w:spacing w:after="100" w:before="240"/>
      </w:pPr>
      <w:r>
        <w:rPr>
          <w:rFonts w:ascii="Calibri" w:cs="Calibri" w:eastAsia="Calibri" w:hAnsi="Calibri"/>
          <w:b/>
          <w:bCs/>
          <w:color w:val="2E86C1"/>
          <w:sz w:val="26"/>
          <w:szCs w:val="26"/>
        </w:rPr>
        <w:t xml:space="preserve">5.4 Optimize Discount Strategy</w:t>
      </w:r>
    </w:p>
    <w:p>
      <w:pPr>
        <w:pStyle w:val="ListParagraph"/>
        <w:numPr>
          <w:ilvl w:val="0"/>
          <w:numId w:val="2"/>
        </w:numPr>
        <w:spacing w:after="60" w:before="60"/>
      </w:pPr>
      <w:r>
        <w:rPr>
          <w:rFonts w:ascii="Calibri" w:cs="Calibri" w:eastAsia="Calibri" w:hAnsi="Calibri"/>
          <w:color w:val="2C3E50"/>
          <w:sz w:val="22"/>
          <w:szCs w:val="22"/>
        </w:rPr>
        <w:t xml:space="preserve">Shift from broad discounts to precision promotions — target specific products or categories with low organic demand.</w:t>
      </w:r>
    </w:p>
    <w:p>
      <w:pPr>
        <w:pStyle w:val="ListParagraph"/>
        <w:numPr>
          <w:ilvl w:val="0"/>
          <w:numId w:val="2"/>
        </w:numPr>
        <w:spacing w:after="60" w:before="60"/>
      </w:pPr>
      <w:r>
        <w:rPr>
          <w:rFonts w:ascii="Calibri" w:cs="Calibri" w:eastAsia="Calibri" w:hAnsi="Calibri"/>
          <w:color w:val="2C3E50"/>
          <w:sz w:val="22"/>
          <w:szCs w:val="22"/>
        </w:rPr>
        <w:t xml:space="preserve">Use promo codes strategically to track campaign ROI and protect margins.</w:t>
      </w:r>
    </w:p>
    <w:p>
      <w:pPr>
        <w:pStyle w:val="ListParagraph"/>
        <w:numPr>
          <w:ilvl w:val="0"/>
          <w:numId w:val="2"/>
        </w:numPr>
        <w:spacing w:after="60" w:before="60"/>
      </w:pPr>
      <w:r>
        <w:rPr>
          <w:rFonts w:ascii="Calibri" w:cs="Calibri" w:eastAsia="Calibri" w:hAnsi="Calibri"/>
          <w:color w:val="2C3E50"/>
          <w:sz w:val="22"/>
          <w:szCs w:val="22"/>
        </w:rPr>
        <w:t xml:space="preserve">Analyze which products generate above-average purchase amounts even with discounts and scale those campaigns.</w:t>
      </w:r>
    </w:p>
    <w:p>
      <w:r>
        <w:t xml:space="preserve"/>
      </w:r>
    </w:p>
    <w:p>
      <w:pPr>
        <w:pStyle w:val="Heading2"/>
        <w:spacing w:after="100" w:before="240"/>
      </w:pPr>
      <w:r>
        <w:rPr>
          <w:rFonts w:ascii="Calibri" w:cs="Calibri" w:eastAsia="Calibri" w:hAnsi="Calibri"/>
          <w:b/>
          <w:bCs/>
          <w:color w:val="2E86C1"/>
          <w:sz w:val="26"/>
          <w:szCs w:val="26"/>
        </w:rPr>
        <w:t xml:space="preserve">5.5 Leverage Seasonal Demand Patterns</w:t>
      </w:r>
    </w:p>
    <w:p>
      <w:pPr>
        <w:pStyle w:val="ListParagraph"/>
        <w:numPr>
          <w:ilvl w:val="0"/>
          <w:numId w:val="2"/>
        </w:numPr>
        <w:spacing w:after="60" w:before="60"/>
      </w:pPr>
      <w:r>
        <w:rPr>
          <w:rFonts w:ascii="Calibri" w:cs="Calibri" w:eastAsia="Calibri" w:hAnsi="Calibri"/>
          <w:color w:val="2C3E50"/>
          <w:sz w:val="22"/>
          <w:szCs w:val="22"/>
        </w:rPr>
        <w:t xml:space="preserve">Spring and Winter show peak volumes — plan inventory and marketing surges accordingly.</w:t>
      </w:r>
    </w:p>
    <w:p>
      <w:pPr>
        <w:pStyle w:val="ListParagraph"/>
        <w:numPr>
          <w:ilvl w:val="0"/>
          <w:numId w:val="2"/>
        </w:numPr>
        <w:spacing w:after="60" w:before="60"/>
      </w:pPr>
      <w:r>
        <w:rPr>
          <w:rFonts w:ascii="Calibri" w:cs="Calibri" w:eastAsia="Calibri" w:hAnsi="Calibri"/>
          <w:color w:val="2C3E50"/>
          <w:sz w:val="22"/>
          <w:szCs w:val="22"/>
        </w:rPr>
        <w:t xml:space="preserve">Use Fall (975 transactions) to introduce loyalty campaigns and pre-season promotions before the Winter spike.</w:t>
      </w:r>
    </w:p>
    <w:p>
      <w:pPr>
        <w:pStyle w:val="ListParagraph"/>
        <w:numPr>
          <w:ilvl w:val="0"/>
          <w:numId w:val="2"/>
        </w:numPr>
        <w:spacing w:after="60" w:before="60"/>
      </w:pPr>
      <w:r>
        <w:rPr>
          <w:rFonts w:ascii="Calibri" w:cs="Calibri" w:eastAsia="Calibri" w:hAnsi="Calibri"/>
          <w:color w:val="2C3E50"/>
          <w:sz w:val="22"/>
          <w:szCs w:val="22"/>
        </w:rPr>
        <w:t xml:space="preserve">Outerwear should be front-and-center in Winter; Sandals and light Footwear in Spring and Summer.</w:t>
      </w:r>
    </w:p>
    <w:p>
      <w:r>
        <w:t xml:space="preserve"/>
      </w:r>
    </w:p>
    <w:p>
      <w:pPr>
        <w:pStyle w:val="Heading2"/>
        <w:spacing w:after="100" w:before="240"/>
      </w:pPr>
      <w:r>
        <w:rPr>
          <w:rFonts w:ascii="Calibri" w:cs="Calibri" w:eastAsia="Calibri" w:hAnsi="Calibri"/>
          <w:b/>
          <w:bCs/>
          <w:color w:val="2E86C1"/>
          <w:sz w:val="26"/>
          <w:szCs w:val="26"/>
        </w:rPr>
        <w:t xml:space="preserve">5.6 Boost Product Quality Perception</w:t>
      </w:r>
    </w:p>
    <w:p>
      <w:pPr>
        <w:pStyle w:val="ListParagraph"/>
        <w:numPr>
          <w:ilvl w:val="0"/>
          <w:numId w:val="2"/>
        </w:numPr>
        <w:spacing w:after="60" w:before="60"/>
      </w:pPr>
      <w:r>
        <w:rPr>
          <w:rFonts w:ascii="Calibri" w:cs="Calibri" w:eastAsia="Calibri" w:hAnsi="Calibri"/>
          <w:color w:val="2C3E50"/>
          <w:sz w:val="22"/>
          <w:szCs w:val="22"/>
        </w:rPr>
        <w:t xml:space="preserve">Gloves, Sandals, and Boots lead in ratings — feature these in homepage banners and email campaigns.</w:t>
      </w:r>
    </w:p>
    <w:p>
      <w:pPr>
        <w:pStyle w:val="ListParagraph"/>
        <w:numPr>
          <w:ilvl w:val="0"/>
          <w:numId w:val="2"/>
        </w:numPr>
        <w:spacing w:after="60" w:before="60"/>
      </w:pPr>
      <w:r>
        <w:rPr>
          <w:rFonts w:ascii="Calibri" w:cs="Calibri" w:eastAsia="Calibri" w:hAnsi="Calibri"/>
          <w:color w:val="2C3E50"/>
          <w:sz w:val="22"/>
          <w:szCs w:val="22"/>
        </w:rPr>
        <w:t xml:space="preserve">Investigate lower-rated items and address quality or description gaps.</w:t>
      </w:r>
    </w:p>
    <w:p>
      <w:pPr>
        <w:pStyle w:val="ListParagraph"/>
        <w:numPr>
          <w:ilvl w:val="0"/>
          <w:numId w:val="2"/>
        </w:numPr>
        <w:spacing w:after="60" w:before="60"/>
      </w:pPr>
      <w:r>
        <w:rPr>
          <w:rFonts w:ascii="Calibri" w:cs="Calibri" w:eastAsia="Calibri" w:hAnsi="Calibri"/>
          <w:color w:val="2C3E50"/>
          <w:sz w:val="22"/>
          <w:szCs w:val="22"/>
        </w:rPr>
        <w:t xml:space="preserve">Encourage post-purchase reviews with incentives to increase review volume and authenticity.</w:t>
      </w:r>
    </w:p>
    <w:p>
      <w:r>
        <w:t xml:space="preserve"/>
      </w:r>
    </w:p>
    <w:p>
      <w:r>
        <w:br w:type="page"/>
      </w:r>
    </w:p>
    <w:p>
      <w:pPr>
        <w:pStyle w:val="Heading1"/>
        <w:spacing w:after="120" w:before="360"/>
      </w:pPr>
      <w:r>
        <w:rPr>
          <w:rFonts w:ascii="Calibri" w:cs="Calibri" w:eastAsia="Calibri" w:hAnsi="Calibri"/>
          <w:b/>
          <w:bCs/>
          <w:color w:val="1F4E79"/>
          <w:sz w:val="32"/>
          <w:szCs w:val="32"/>
        </w:rPr>
        <w:t xml:space="preserve">6. Methodology</w:t>
      </w:r>
    </w:p>
    <w:p>
      <w:pPr>
        <w:pStyle w:val="Heading2"/>
        <w:spacing w:after="100" w:before="240"/>
      </w:pPr>
      <w:r>
        <w:rPr>
          <w:rFonts w:ascii="Calibri" w:cs="Calibri" w:eastAsia="Calibri" w:hAnsi="Calibri"/>
          <w:b/>
          <w:bCs/>
          <w:color w:val="2E86C1"/>
          <w:sz w:val="26"/>
          <w:szCs w:val="26"/>
        </w:rPr>
        <w:t xml:space="preserve">6.1 Data Preparation (Python)</w:t>
      </w:r>
    </w:p>
    <w:p>
      <w:pPr>
        <w:pStyle w:val="ListParagraph"/>
        <w:numPr>
          <w:ilvl w:val="0"/>
          <w:numId w:val="2"/>
        </w:numPr>
        <w:spacing w:after="60" w:before="60"/>
      </w:pPr>
      <w:r>
        <w:rPr>
          <w:rFonts w:ascii="Calibri" w:cs="Calibri" w:eastAsia="Calibri" w:hAnsi="Calibri"/>
          <w:color w:val="2C3E50"/>
          <w:sz w:val="22"/>
          <w:szCs w:val="22"/>
        </w:rPr>
        <w:t xml:space="preserve">Loaded raw CSV dataset with 3,900 records and 18 columns.</w:t>
      </w:r>
    </w:p>
    <w:p>
      <w:pPr>
        <w:pStyle w:val="ListParagraph"/>
        <w:numPr>
          <w:ilvl w:val="0"/>
          <w:numId w:val="2"/>
        </w:numPr>
        <w:spacing w:after="60" w:before="60"/>
      </w:pPr>
      <w:r>
        <w:rPr>
          <w:rFonts w:ascii="Calibri" w:cs="Calibri" w:eastAsia="Calibri" w:hAnsi="Calibri"/>
          <w:color w:val="2C3E50"/>
          <w:sz w:val="22"/>
          <w:szCs w:val="22"/>
        </w:rPr>
        <w:t xml:space="preserve">Performed null-value checks and data type validation.</w:t>
      </w:r>
    </w:p>
    <w:p>
      <w:pPr>
        <w:pStyle w:val="ListParagraph"/>
        <w:numPr>
          <w:ilvl w:val="0"/>
          <w:numId w:val="2"/>
        </w:numPr>
        <w:spacing w:after="60" w:before="60"/>
      </w:pPr>
      <w:r>
        <w:rPr>
          <w:rFonts w:ascii="Calibri" w:cs="Calibri" w:eastAsia="Calibri" w:hAnsi="Calibri"/>
          <w:color w:val="2C3E50"/>
          <w:sz w:val="22"/>
          <w:szCs w:val="22"/>
        </w:rPr>
        <w:t xml:space="preserve">Derived new fields: age_group (binned from Age), customer_segment (from Previous Purchases).</w:t>
      </w:r>
    </w:p>
    <w:p>
      <w:pPr>
        <w:pStyle w:val="ListParagraph"/>
        <w:numPr>
          <w:ilvl w:val="0"/>
          <w:numId w:val="2"/>
        </w:numPr>
        <w:spacing w:after="60" w:before="60"/>
      </w:pPr>
      <w:r>
        <w:rPr>
          <w:rFonts w:ascii="Calibri" w:cs="Calibri" w:eastAsia="Calibri" w:hAnsi="Calibri"/>
          <w:color w:val="2C3E50"/>
          <w:sz w:val="22"/>
          <w:szCs w:val="22"/>
        </w:rPr>
        <w:t xml:space="preserve">Exported clean dataset to PostgreSQL for SQL querying.</w:t>
      </w:r>
    </w:p>
    <w:p>
      <w:r>
        <w:t xml:space="preserve"/>
      </w:r>
    </w:p>
    <w:p>
      <w:pPr>
        <w:pStyle w:val="Heading2"/>
        <w:spacing w:after="100" w:before="240"/>
      </w:pPr>
      <w:r>
        <w:rPr>
          <w:rFonts w:ascii="Calibri" w:cs="Calibri" w:eastAsia="Calibri" w:hAnsi="Calibri"/>
          <w:b/>
          <w:bCs/>
          <w:color w:val="2E86C1"/>
          <w:sz w:val="26"/>
          <w:szCs w:val="26"/>
        </w:rPr>
        <w:t xml:space="preserve">6.2 Data Analysis (SQL)</w:t>
      </w:r>
    </w:p>
    <w:p>
      <w:pPr>
        <w:pStyle w:val="ListParagraph"/>
        <w:numPr>
          <w:ilvl w:val="0"/>
          <w:numId w:val="2"/>
        </w:numPr>
        <w:spacing w:after="60" w:before="60"/>
      </w:pPr>
      <w:r>
        <w:rPr>
          <w:rFonts w:ascii="Calibri" w:cs="Calibri" w:eastAsia="Calibri" w:hAnsi="Calibri"/>
          <w:color w:val="2C3E50"/>
          <w:sz w:val="22"/>
          <w:szCs w:val="22"/>
        </w:rPr>
        <w:t xml:space="preserve">10 analytical SQL queries were written covering: revenue by gender, discount behavior, product ratings, shipping comparison, subscription analysis, loyalty segmentation, and category ranking.</w:t>
      </w:r>
    </w:p>
    <w:p>
      <w:pPr>
        <w:pStyle w:val="ListParagraph"/>
        <w:numPr>
          <w:ilvl w:val="0"/>
          <w:numId w:val="2"/>
        </w:numPr>
        <w:spacing w:after="60" w:before="60"/>
      </w:pPr>
      <w:r>
        <w:rPr>
          <w:rFonts w:ascii="Calibri" w:cs="Calibri" w:eastAsia="Calibri" w:hAnsi="Calibri"/>
          <w:color w:val="2C3E50"/>
          <w:sz w:val="22"/>
          <w:szCs w:val="22"/>
        </w:rPr>
        <w:t xml:space="preserve">Advanced SQL techniques used: CTEs, Window Functions (ROW_NUMBER, PARTITION BY), subqueries, and conditional aggregation.</w:t>
      </w:r>
    </w:p>
    <w:p>
      <w:r>
        <w:t xml:space="preserve"/>
      </w:r>
    </w:p>
    <w:p>
      <w:pPr>
        <w:pStyle w:val="Heading2"/>
        <w:spacing w:after="100" w:before="240"/>
      </w:pPr>
      <w:r>
        <w:rPr>
          <w:rFonts w:ascii="Calibri" w:cs="Calibri" w:eastAsia="Calibri" w:hAnsi="Calibri"/>
          <w:b/>
          <w:bCs/>
          <w:color w:val="2E86C1"/>
          <w:sz w:val="26"/>
          <w:szCs w:val="26"/>
        </w:rPr>
        <w:t xml:space="preserve">6.3 Visualization (Power BI)</w:t>
      </w:r>
    </w:p>
    <w:p>
      <w:pPr>
        <w:pStyle w:val="ListParagraph"/>
        <w:numPr>
          <w:ilvl w:val="0"/>
          <w:numId w:val="2"/>
        </w:numPr>
        <w:spacing w:after="60" w:before="60"/>
      </w:pPr>
      <w:r>
        <w:rPr>
          <w:rFonts w:ascii="Calibri" w:cs="Calibri" w:eastAsia="Calibri" w:hAnsi="Calibri"/>
          <w:color w:val="2C3E50"/>
          <w:sz w:val="22"/>
          <w:szCs w:val="22"/>
        </w:rPr>
        <w:t xml:space="preserve">Interactive dashboard built to surface all key metrics dynamically.</w:t>
      </w:r>
    </w:p>
    <w:p>
      <w:pPr>
        <w:pStyle w:val="ListParagraph"/>
        <w:numPr>
          <w:ilvl w:val="0"/>
          <w:numId w:val="2"/>
        </w:numPr>
        <w:spacing w:after="60" w:before="60"/>
      </w:pPr>
      <w:r>
        <w:rPr>
          <w:rFonts w:ascii="Calibri" w:cs="Calibri" w:eastAsia="Calibri" w:hAnsi="Calibri"/>
          <w:color w:val="2C3E50"/>
          <w:sz w:val="22"/>
          <w:szCs w:val="22"/>
        </w:rPr>
        <w:t xml:space="preserve">Visuals include: revenue by gender/age/category bar charts, KPI cards (total revenue, avg spend, avg rating), seasonal trend lines, segment donut charts, and shipping preference visuals.</w:t>
      </w:r>
    </w:p>
    <w:p>
      <w:pPr>
        <w:pStyle w:val="ListParagraph"/>
        <w:numPr>
          <w:ilvl w:val="0"/>
          <w:numId w:val="2"/>
        </w:numPr>
        <w:spacing w:after="60" w:before="60"/>
      </w:pPr>
      <w:r>
        <w:rPr>
          <w:rFonts w:ascii="Calibri" w:cs="Calibri" w:eastAsia="Calibri" w:hAnsi="Calibri"/>
          <w:color w:val="2C3E50"/>
          <w:sz w:val="22"/>
          <w:szCs w:val="22"/>
        </w:rPr>
        <w:t xml:space="preserve">Slicers enabled for Gender, Season, Category, and Subscription Status.</w:t>
      </w:r>
    </w:p>
    <w:p>
      <w:r>
        <w:t xml:space="preserve"/>
      </w:r>
    </w:p>
    <w:p>
      <w:r>
        <w:br w:type="page"/>
      </w:r>
    </w:p>
    <w:p>
      <w:pPr>
        <w:pStyle w:val="Heading1"/>
        <w:spacing w:after="120" w:before="360"/>
      </w:pPr>
      <w:r>
        <w:rPr>
          <w:rFonts w:ascii="Calibri" w:cs="Calibri" w:eastAsia="Calibri" w:hAnsi="Calibri"/>
          <w:b/>
          <w:bCs/>
          <w:color w:val="1F4E79"/>
          <w:sz w:val="32"/>
          <w:szCs w:val="32"/>
        </w:rPr>
        <w:t xml:space="preserve">7. Conclusion</w:t>
      </w:r>
    </w:p>
    <w:p>
      <w:pPr>
        <w:spacing w:after="80" w:before="80"/>
      </w:pPr>
      <w:r>
        <w:rPr>
          <w:rFonts w:ascii="Calibri" w:cs="Calibri" w:eastAsia="Calibri" w:hAnsi="Calibri"/>
          <w:color w:val="2C3E50"/>
          <w:sz w:val="22"/>
          <w:szCs w:val="22"/>
        </w:rPr>
        <w:t xml:space="preserve">This analysis reveals a customer base that skews male, mature (55+), and highly loyal — with a significant untapped potential among younger, female, and non-subscribed segments. The subscription program is underperforming its potential, discount strategy can be optimized, and product quality signals in Footwear and Accessories should be leveraged more aggressively in marketing.</w:t>
      </w:r>
    </w:p>
    <w:p>
      <w:r>
        <w:t xml:space="preserve"/>
      </w:r>
    </w:p>
    <w:p>
      <w:pPr>
        <w:spacing w:after="80" w:before="80"/>
      </w:pPr>
      <w:r>
        <w:rPr>
          <w:rFonts w:ascii="Calibri" w:cs="Calibri" w:eastAsia="Calibri" w:hAnsi="Calibri"/>
          <w:color w:val="2C3E50"/>
          <w:sz w:val="22"/>
          <w:szCs w:val="22"/>
        </w:rPr>
        <w:t xml:space="preserve">The SQL queries, Power BI dashboard, and this report collectively provide the management team with a full analytical picture. The recommended actions — improved acquisition targeting, a richer subscription model, precision discounting, and seasonal planning — are directly grounded in the data and executable within current business operations.</w:t>
      </w:r>
    </w:p>
    <w:p>
      <w:r>
        <w:t xml:space="preserve"/>
      </w:r>
    </w:p>
    <w:p>
      <w:pPr>
        <w:spacing w:after="80" w:before="80"/>
      </w:pPr>
      <w:r>
        <w:rPr>
          <w:rFonts w:ascii="Calibri" w:cs="Calibri" w:eastAsia="Calibri" w:hAnsi="Calibri"/>
          <w:color w:val="2C3E50"/>
          <w:sz w:val="22"/>
          <w:szCs w:val="22"/>
        </w:rPr>
        <w:t xml:space="preserve">All code, queries, and dashboard files are available in the GitHub repository for full reproducibility and stakeholder review.</w:t>
      </w:r>
    </w:p>
    <w:p>
      <w:r>
        <w:t xml:space="preserve"/>
      </w:r>
    </w:p>
    <w:p>
      <w:r>
        <w:br w:type="page"/>
      </w:r>
    </w:p>
    <w:p>
      <w:pPr>
        <w:pStyle w:val="Heading1"/>
        <w:spacing w:after="120" w:before="360"/>
      </w:pPr>
      <w:r>
        <w:rPr>
          <w:rFonts w:ascii="Calibri" w:cs="Calibri" w:eastAsia="Calibri" w:hAnsi="Calibri"/>
          <w:b/>
          <w:bCs/>
          <w:color w:val="1F4E79"/>
          <w:sz w:val="32"/>
          <w:szCs w:val="32"/>
        </w:rPr>
        <w:t xml:space="preserve">Appendix: SQL Query Summary</w:t>
      </w:r>
    </w:p>
    <w:p>
      <w:pPr>
        <w:spacing w:after="80" w:before="80"/>
      </w:pPr>
      <w:r>
        <w:rPr>
          <w:rFonts w:ascii="Calibri" w:cs="Calibri" w:eastAsia="Calibri" w:hAnsi="Calibri"/>
          <w:color w:val="2C3E50"/>
          <w:sz w:val="22"/>
          <w:szCs w:val="22"/>
        </w:rPr>
        <w:t xml:space="preserve">The following 10 SQL queries were developed for this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616"/>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Query Description</w:t>
            </w:r>
          </w:p>
        </w:tc>
        <w:tc>
          <w:tcPr>
            <w:tcW w:type="dxa" w:w="2808"/>
            <w:tcBorders>
              <w:top w:val="single" w:color="BDC3C7" w:sz="1"/>
              <w:left w:val="single" w:color="BDC3C7" w:sz="1"/>
              <w:bottom w:val="single" w:color="BDC3C7" w:sz="1"/>
              <w:right w:val="single" w:color="BDC3C7"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Key Technique</w:t>
            </w:r>
          </w:p>
        </w:tc>
      </w:tr>
      <w:tr>
        <w:tc>
          <w:tcPr>
            <w:tcW w:type="dxa" w:w="93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Q1</w:t>
            </w:r>
          </w:p>
        </w:tc>
        <w:tc>
          <w:tcPr>
            <w:tcW w:type="dxa" w:w="561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Total revenue by gender</w:t>
            </w:r>
          </w:p>
        </w:tc>
        <w:tc>
          <w:tcPr>
            <w:tcW w:type="dxa" w:w="280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GROUP BY, SUM</w:t>
            </w:r>
          </w:p>
        </w:tc>
      </w:tr>
      <w:tr>
        <w:tc>
          <w:tcPr>
            <w:tcW w:type="dxa" w:w="93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Q2</w:t>
            </w:r>
          </w:p>
        </w:tc>
        <w:tc>
          <w:tcPr>
            <w:tcW w:type="dxa" w:w="561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Customers using discounts above average spend</w:t>
            </w:r>
          </w:p>
        </w:tc>
        <w:tc>
          <w:tcPr>
            <w:tcW w:type="dxa" w:w="2808"/>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Subquery, WHERE</w:t>
            </w:r>
          </w:p>
        </w:tc>
      </w:tr>
      <w:tr>
        <w:tc>
          <w:tcPr>
            <w:tcW w:type="dxa" w:w="93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Q3</w:t>
            </w:r>
          </w:p>
        </w:tc>
        <w:tc>
          <w:tcPr>
            <w:tcW w:type="dxa" w:w="561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Top 5 products by average review rating</w:t>
            </w:r>
          </w:p>
        </w:tc>
        <w:tc>
          <w:tcPr>
            <w:tcW w:type="dxa" w:w="280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GROUP BY, ORDER BY, LIMIT</w:t>
            </w:r>
          </w:p>
        </w:tc>
      </w:tr>
      <w:tr>
        <w:tc>
          <w:tcPr>
            <w:tcW w:type="dxa" w:w="93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Q4</w:t>
            </w:r>
          </w:p>
        </w:tc>
        <w:tc>
          <w:tcPr>
            <w:tcW w:type="dxa" w:w="561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Average purchase by shipping type (Standard vs Express)</w:t>
            </w:r>
          </w:p>
        </w:tc>
        <w:tc>
          <w:tcPr>
            <w:tcW w:type="dxa" w:w="2808"/>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WHERE IN, GROUP BY</w:t>
            </w:r>
          </w:p>
        </w:tc>
      </w:tr>
      <w:tr>
        <w:tc>
          <w:tcPr>
            <w:tcW w:type="dxa" w:w="93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Q5</w:t>
            </w:r>
          </w:p>
        </w:tc>
        <w:tc>
          <w:tcPr>
            <w:tcW w:type="dxa" w:w="561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Subscription vs. non-subscription spend comparison</w:t>
            </w:r>
          </w:p>
        </w:tc>
        <w:tc>
          <w:tcPr>
            <w:tcW w:type="dxa" w:w="280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GROUP BY, AVG, SUM</w:t>
            </w:r>
          </w:p>
        </w:tc>
      </w:tr>
      <w:tr>
        <w:tc>
          <w:tcPr>
            <w:tcW w:type="dxa" w:w="93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Q6</w:t>
            </w:r>
          </w:p>
        </w:tc>
        <w:tc>
          <w:tcPr>
            <w:tcW w:type="dxa" w:w="561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Top 5 products by discount application percentage</w:t>
            </w:r>
          </w:p>
        </w:tc>
        <w:tc>
          <w:tcPr>
            <w:tcW w:type="dxa" w:w="2808"/>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CASE WHEN, COUNT, GROUP BY</w:t>
            </w:r>
          </w:p>
        </w:tc>
      </w:tr>
      <w:tr>
        <w:tc>
          <w:tcPr>
            <w:tcW w:type="dxa" w:w="93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Q7</w:t>
            </w:r>
          </w:p>
        </w:tc>
        <w:tc>
          <w:tcPr>
            <w:tcW w:type="dxa" w:w="561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Customer segmentation: New, Returning, Loyal</w:t>
            </w:r>
          </w:p>
        </w:tc>
        <w:tc>
          <w:tcPr>
            <w:tcW w:type="dxa" w:w="280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CTE, CASE WHEN, GROUP BY</w:t>
            </w:r>
          </w:p>
        </w:tc>
      </w:tr>
      <w:tr>
        <w:tc>
          <w:tcPr>
            <w:tcW w:type="dxa" w:w="93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Q8</w:t>
            </w:r>
          </w:p>
        </w:tc>
        <w:tc>
          <w:tcPr>
            <w:tcW w:type="dxa" w:w="561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Top 3 products per category by purchase volume</w:t>
            </w:r>
          </w:p>
        </w:tc>
        <w:tc>
          <w:tcPr>
            <w:tcW w:type="dxa" w:w="2808"/>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CTE, ROW_NUMBER, PARTITION BY</w:t>
            </w:r>
          </w:p>
        </w:tc>
      </w:tr>
      <w:tr>
        <w:tc>
          <w:tcPr>
            <w:tcW w:type="dxa" w:w="93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Q9</w:t>
            </w:r>
          </w:p>
        </w:tc>
        <w:tc>
          <w:tcPr>
            <w:tcW w:type="dxa" w:w="561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Repeat buyer (&gt;5 purchases) subscription rate</w:t>
            </w:r>
          </w:p>
        </w:tc>
        <w:tc>
          <w:tcPr>
            <w:tcW w:type="dxa" w:w="280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WHERE, GROUP BY</w:t>
            </w:r>
          </w:p>
        </w:tc>
      </w:tr>
      <w:tr>
        <w:tc>
          <w:tcPr>
            <w:tcW w:type="dxa" w:w="93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Q10</w:t>
            </w:r>
          </w:p>
        </w:tc>
        <w:tc>
          <w:tcPr>
            <w:tcW w:type="dxa" w:w="561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Revenue by age group</w:t>
            </w:r>
          </w:p>
        </w:tc>
        <w:tc>
          <w:tcPr>
            <w:tcW w:type="dxa" w:w="2808"/>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alibri" w:cs="Calibri" w:eastAsia="Calibri" w:hAnsi="Calibri"/>
                <w:color w:val="2C3E50"/>
                <w:sz w:val="20"/>
                <w:szCs w:val="20"/>
              </w:rPr>
              <w:t xml:space="preserve">GROUP BY derived field, ORDER BY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86C1"/>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2026-05-25T21:00:38.221Z</dcterms:created>
  <dcterms:modified xsi:type="dcterms:W3CDTF">2026-05-25T21:00:38.221Z</dcterms:modified>
</cp:coreProperties>
</file>

<file path=docProps/custom.xml><?xml version="1.0" encoding="utf-8"?>
<Properties xmlns="http://schemas.openxmlformats.org/officeDocument/2006/custom-properties" xmlns:vt="http://schemas.openxmlformats.org/officeDocument/2006/docPropsVTypes"/>
</file>