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Научиться работать с редактором emacs.</w:t>
      </w:r>
    </w:p>
    <w:bookmarkEnd w:id="21"/>
    <w:bookmarkStart w:id="8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86" w:name="основные-команды-emacs"/>
    <w:p>
      <w:pPr>
        <w:pStyle w:val="Heading2"/>
      </w:pPr>
      <w:r>
        <w:t xml:space="preserve">Основные команды emacs</w:t>
      </w:r>
    </w:p>
    <w:p>
      <w:pPr>
        <w:numPr>
          <w:ilvl w:val="0"/>
          <w:numId w:val="1001"/>
        </w:numPr>
        <w:pStyle w:val="Compact"/>
      </w:pPr>
      <w:r>
        <w:t xml:space="preserve">Открывание emacs</w:t>
      </w:r>
    </w:p>
    <w:p>
      <w:pPr>
        <w:pStyle w:val="CaptionedFigure"/>
      </w:pPr>
      <w:bookmarkStart w:id="25" w:name="fig:001"/>
      <w:r>
        <w:drawing>
          <wp:inline>
            <wp:extent cx="5334000" cy="5684520"/>
            <wp:effectExtent b="0" l="0" r="0" t="0"/>
            <wp:docPr descr="Рис.1: открывание emacs" title="" id="23" name="Picture"/>
            <a:graphic>
              <a:graphicData uri="http://schemas.openxmlformats.org/drawingml/2006/picture">
                <pic:pic>
                  <pic:nvPicPr>
                    <pic:cNvPr descr="image/lab9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Рис.1: открывание emacs</w:t>
      </w:r>
    </w:p>
    <w:p>
      <w:pPr>
        <w:numPr>
          <w:ilvl w:val="0"/>
          <w:numId w:val="1002"/>
        </w:numPr>
        <w:pStyle w:val="Compact"/>
      </w:pPr>
      <w:r>
        <w:t xml:space="preserve">Создавание файла</w:t>
      </w:r>
    </w:p>
    <w:p>
      <w:pPr>
        <w:pStyle w:val="CaptionedFigure"/>
      </w:pPr>
      <w:bookmarkStart w:id="29" w:name="fig:002"/>
      <w:r>
        <w:drawing>
          <wp:inline>
            <wp:extent cx="5334000" cy="5684520"/>
            <wp:effectExtent b="0" l="0" r="0" t="0"/>
            <wp:docPr descr="Рис.2: создавание файла" title="" id="27" name="Picture"/>
            <a:graphic>
              <a:graphicData uri="http://schemas.openxmlformats.org/drawingml/2006/picture">
                <pic:pic>
                  <pic:nvPicPr>
                    <pic:cNvPr descr="image/lab9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Рис.2: создавание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Написать текст в файл</w:t>
      </w:r>
    </w:p>
    <w:p>
      <w:pPr>
        <w:pStyle w:val="CaptionedFigure"/>
      </w:pPr>
      <w:bookmarkStart w:id="33" w:name="fig:003"/>
      <w:r>
        <w:drawing>
          <wp:inline>
            <wp:extent cx="5334000" cy="5684520"/>
            <wp:effectExtent b="0" l="0" r="0" t="0"/>
            <wp:docPr descr="Рис.3:" title="" id="31" name="Picture"/>
            <a:graphic>
              <a:graphicData uri="http://schemas.openxmlformats.org/drawingml/2006/picture">
                <pic:pic>
                  <pic:nvPicPr>
                    <pic:cNvPr descr="image/lab9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Рис.3:</w:t>
      </w:r>
    </w:p>
    <w:p>
      <w:pPr>
        <w:numPr>
          <w:ilvl w:val="0"/>
          <w:numId w:val="1004"/>
        </w:numPr>
        <w:pStyle w:val="Compact"/>
      </w:pPr>
      <w:r>
        <w:t xml:space="preserve">Сохранение файла</w:t>
      </w:r>
    </w:p>
    <w:p>
      <w:pPr>
        <w:pStyle w:val="CaptionedFigure"/>
      </w:pPr>
      <w:bookmarkStart w:id="37" w:name="fig:004"/>
      <w:r>
        <w:drawing>
          <wp:inline>
            <wp:extent cx="5334000" cy="5684520"/>
            <wp:effectExtent b="0" l="0" r="0" t="0"/>
            <wp:docPr descr="Рис.4: сохранение файла" title="" id="35" name="Picture"/>
            <a:graphic>
              <a:graphicData uri="http://schemas.openxmlformats.org/drawingml/2006/picture">
                <pic:pic>
                  <pic:nvPicPr>
                    <pic:cNvPr descr="image/lab9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Рис.4: сохранение файла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6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6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6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6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6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6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6"/>
        </w:numPr>
        <w:pStyle w:val="Compact"/>
      </w:pPr>
      <w:r>
        <w:t xml:space="preserve">Отмените последнее действие (C-/).</w:t>
      </w:r>
    </w:p>
    <w:p>
      <w:pPr>
        <w:numPr>
          <w:ilvl w:val="1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1"/>
          <w:numId w:val="1006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1"/>
          <w:numId w:val="1006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1"/>
          <w:numId w:val="1006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1"/>
          <w:numId w:val="1006"/>
        </w:numPr>
        <w:pStyle w:val="Compact"/>
      </w:pPr>
      <w:r>
        <w:t xml:space="preserve">Переместите курсор в конец буфера (M-&gt;).</w:t>
      </w:r>
    </w:p>
    <w:p>
      <w:pPr>
        <w:pStyle w:val="CaptionedFigure"/>
      </w:pPr>
      <w:bookmarkStart w:id="41" w:name="fig:005"/>
      <w:r>
        <w:drawing>
          <wp:inline>
            <wp:extent cx="5334000" cy="5684520"/>
            <wp:effectExtent b="0" l="0" r="0" t="0"/>
            <wp:docPr descr="Рис.5:" title="" id="39" name="Picture"/>
            <a:graphic>
              <a:graphicData uri="http://schemas.openxmlformats.org/drawingml/2006/picture">
                <pic:pic>
                  <pic:nvPicPr>
                    <pic:cNvPr descr="image/lab9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Рис.5:</w:t>
      </w:r>
    </w:p>
    <w:p>
      <w:pPr>
        <w:pStyle w:val="CaptionedFigure"/>
      </w:pPr>
      <w:bookmarkStart w:id="45" w:name="fig:006"/>
      <w:r>
        <w:drawing>
          <wp:inline>
            <wp:extent cx="5334000" cy="5684520"/>
            <wp:effectExtent b="0" l="0" r="0" t="0"/>
            <wp:docPr descr="Рис.6:" title="" id="43" name="Picture"/>
            <a:graphic>
              <a:graphicData uri="http://schemas.openxmlformats.org/drawingml/2006/picture">
                <pic:pic>
                  <pic:nvPicPr>
                    <pic:cNvPr descr="image/lab9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Рис.6:</w:t>
      </w:r>
    </w:p>
    <w:p>
      <w:pPr>
        <w:pStyle w:val="CaptionedFigure"/>
      </w:pPr>
      <w:bookmarkStart w:id="49" w:name="fig:007"/>
      <w:r>
        <w:drawing>
          <wp:inline>
            <wp:extent cx="5334000" cy="5684520"/>
            <wp:effectExtent b="0" l="0" r="0" t="0"/>
            <wp:docPr descr="Рис.7:" title="" id="47" name="Picture"/>
            <a:graphic>
              <a:graphicData uri="http://schemas.openxmlformats.org/drawingml/2006/picture">
                <pic:pic>
                  <pic:nvPicPr>
                    <pic:cNvPr descr="image/lab9.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Рис.7:</w:t>
      </w:r>
    </w:p>
    <w:p>
      <w:pPr>
        <w:pStyle w:val="CaptionedFigure"/>
      </w:pPr>
      <w:bookmarkStart w:id="53" w:name="fig:008"/>
      <w:r>
        <w:drawing>
          <wp:inline>
            <wp:extent cx="5334000" cy="5684520"/>
            <wp:effectExtent b="0" l="0" r="0" t="0"/>
            <wp:docPr descr="Рис.8:" title="" id="51" name="Picture"/>
            <a:graphic>
              <a:graphicData uri="http://schemas.openxmlformats.org/drawingml/2006/picture">
                <pic:pic>
                  <pic:nvPicPr>
                    <pic:cNvPr descr="image/lab9.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Рис.8:</w:t>
      </w:r>
    </w:p>
    <w:p>
      <w:pPr>
        <w:numPr>
          <w:ilvl w:val="0"/>
          <w:numId w:val="1007"/>
        </w:numPr>
        <w:pStyle w:val="Compact"/>
      </w:pPr>
      <w:r>
        <w:t xml:space="preserve">Вывести список активных буферов на экран (C-x C-b).Переместитесь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Закройте это окно (C-x 0). Теперь вновь переключайтесь между буферами, но уже без вывода их списка наэкран (C-x b).</w:t>
      </w:r>
    </w:p>
    <w:p>
      <w:pPr>
        <w:pStyle w:val="CaptionedFigure"/>
      </w:pPr>
      <w:bookmarkStart w:id="57" w:name="fig:009"/>
      <w:r>
        <w:drawing>
          <wp:inline>
            <wp:extent cx="5334000" cy="5684520"/>
            <wp:effectExtent b="0" l="0" r="0" t="0"/>
            <wp:docPr descr="Рис.9:выведение список" title="" id="55" name="Picture"/>
            <a:graphic>
              <a:graphicData uri="http://schemas.openxmlformats.org/drawingml/2006/picture">
                <pic:pic>
                  <pic:nvPicPr>
                    <pic:cNvPr descr="image/lab9.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Рис.9:выведение список</w:t>
      </w:r>
    </w:p>
    <w:p>
      <w:pPr>
        <w:pStyle w:val="CaptionedFigure"/>
      </w:pPr>
      <w:bookmarkStart w:id="61" w:name="fig:010"/>
      <w:r>
        <w:drawing>
          <wp:inline>
            <wp:extent cx="5334000" cy="5684520"/>
            <wp:effectExtent b="0" l="0" r="0" t="0"/>
            <wp:docPr descr="Рис.10: перемещение" title="" id="59" name="Picture"/>
            <a:graphic>
              <a:graphicData uri="http://schemas.openxmlformats.org/drawingml/2006/picture">
                <pic:pic>
                  <pic:nvPicPr>
                    <pic:cNvPr descr="image/lab9.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Рис.10: перемещение</w:t>
      </w:r>
    </w:p>
    <w:p>
      <w:pPr>
        <w:pStyle w:val="CaptionedFigure"/>
      </w:pPr>
      <w:bookmarkStart w:id="65" w:name="fig:011"/>
      <w:r>
        <w:drawing>
          <wp:inline>
            <wp:extent cx="5334000" cy="5684520"/>
            <wp:effectExtent b="0" l="0" r="0" t="0"/>
            <wp:docPr descr="Рис.11: закрывание" title="" id="63" name="Picture"/>
            <a:graphic>
              <a:graphicData uri="http://schemas.openxmlformats.org/drawingml/2006/picture">
                <pic:pic>
                  <pic:nvPicPr>
                    <pic:cNvPr descr="image/lab9.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Рис.11: закрывание</w:t>
      </w:r>
    </w:p>
    <w:p>
      <w:pPr>
        <w:pStyle w:val="CaptionedFigure"/>
      </w:pPr>
      <w:bookmarkStart w:id="69" w:name="fig:012"/>
      <w:r>
        <w:drawing>
          <wp:inline>
            <wp:extent cx="5334000" cy="5684520"/>
            <wp:effectExtent b="0" l="0" r="0" t="0"/>
            <wp:docPr descr="Рис.12:" title="" id="67" name="Picture"/>
            <a:graphic>
              <a:graphicData uri="http://schemas.openxmlformats.org/drawingml/2006/picture">
                <pic:pic>
                  <pic:nvPicPr>
                    <pic:cNvPr descr="image/lab9.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Рис.12:</w:t>
      </w:r>
    </w:p>
    <w:p>
      <w:pPr>
        <w:numPr>
          <w:ilvl w:val="0"/>
          <w:numId w:val="1008"/>
        </w:numPr>
        <w:pStyle w:val="Compact"/>
      </w:pPr>
      <w:r>
        <w:t xml:space="preserve">Поделить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bookmarkStart w:id="73" w:name="fig:013"/>
      <w:r>
        <w:drawing>
          <wp:inline>
            <wp:extent cx="5334000" cy="5684520"/>
            <wp:effectExtent b="0" l="0" r="0" t="0"/>
            <wp:docPr descr="Рис.13: поделение фрейм на 4 части" title="" id="71" name="Picture"/>
            <a:graphic>
              <a:graphicData uri="http://schemas.openxmlformats.org/drawingml/2006/picture">
                <pic:pic>
                  <pic:nvPicPr>
                    <pic:cNvPr descr="image/lab9.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Рис.13: поделение фрейм на 4 части</w:t>
      </w:r>
    </w:p>
    <w:p>
      <w:pPr>
        <w:numPr>
          <w:ilvl w:val="0"/>
          <w:numId w:val="1009"/>
        </w:numPr>
        <w:pStyle w:val="Compact"/>
      </w:pPr>
      <w:r>
        <w:t xml:space="preserve">В каждом из четырёх созданных окон открыть новый буфер (файл) и ввести несколько строк текста.</w:t>
      </w:r>
    </w:p>
    <w:p>
      <w:pPr>
        <w:pStyle w:val="CaptionedFigure"/>
      </w:pPr>
      <w:bookmarkStart w:id="77" w:name="fig:014"/>
      <w:r>
        <w:drawing>
          <wp:inline>
            <wp:extent cx="5334000" cy="5684520"/>
            <wp:effectExtent b="0" l="0" r="0" t="0"/>
            <wp:docPr descr="Рис.14: открывание буфер и введение строк" title="" id="75" name="Picture"/>
            <a:graphic>
              <a:graphicData uri="http://schemas.openxmlformats.org/drawingml/2006/picture">
                <pic:pic>
                  <pic:nvPicPr>
                    <pic:cNvPr descr="image/lab9.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Рис.14: открывание буфер и введение строк</w:t>
      </w:r>
    </w:p>
    <w:p>
      <w:pPr>
        <w:numPr>
          <w:ilvl w:val="0"/>
          <w:numId w:val="1010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pStyle w:val="CaptionedFigure"/>
      </w:pPr>
      <w:bookmarkStart w:id="81" w:name="fig:015"/>
      <w:r>
        <w:drawing>
          <wp:inline>
            <wp:extent cx="5334000" cy="5684520"/>
            <wp:effectExtent b="0" l="0" r="0" t="0"/>
            <wp:docPr descr="Рис.15: найти слов из текста" title="" id="79" name="Picture"/>
            <a:graphic>
              <a:graphicData uri="http://schemas.openxmlformats.org/drawingml/2006/picture">
                <pic:pic>
                  <pic:nvPicPr>
                    <pic:cNvPr descr="image/lab9.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Рис.15: найти слов из текста</w:t>
      </w:r>
    </w:p>
    <w:p>
      <w:pPr>
        <w:numPr>
          <w:ilvl w:val="0"/>
          <w:numId w:val="1011"/>
        </w:numPr>
        <w:pStyle w:val="Compact"/>
      </w:pPr>
      <w:r>
        <w:t xml:space="preserve">Переключайтесь между результатами поиска, нажимая C-s</w:t>
      </w:r>
    </w:p>
    <w:p>
      <w:pPr>
        <w:pStyle w:val="CaptionedFigure"/>
      </w:pPr>
      <w:bookmarkStart w:id="85" w:name="fig:016"/>
      <w:r>
        <w:drawing>
          <wp:inline>
            <wp:extent cx="5334000" cy="5684520"/>
            <wp:effectExtent b="0" l="0" r="0" t="0"/>
            <wp:docPr descr="Рис.16: Переключение между поисков" title="" id="83" name="Picture"/>
            <a:graphic>
              <a:graphicData uri="http://schemas.openxmlformats.org/drawingml/2006/picture">
                <pic:pic>
                  <pic:nvPicPr>
                    <pic:cNvPr descr="image/lab9.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Рис.16: Переключение между поисков</w:t>
      </w:r>
    </w:p>
    <w:p>
      <w:pPr>
        <w:numPr>
          <w:ilvl w:val="0"/>
          <w:numId w:val="1012"/>
        </w:numPr>
        <w:pStyle w:val="Compact"/>
      </w:pPr>
      <w:r>
        <w:t xml:space="preserve">Выйти из режима нажав на C-g.</w:t>
      </w:r>
    </w:p>
    <w:bookmarkEnd w:id="86"/>
    <w:bookmarkEnd w:id="87"/>
    <w:bookmarkStart w:id="8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научились работать с текстовым редактором emacs.</w:t>
      </w:r>
    </w:p>
    <w:p>
      <w:pPr>
        <w:pStyle w:val="BodyText"/>
      </w:pPr>
      <w:r>
        <w:t xml:space="preserve">:::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emacs</dc:title>
  <dc:creator>Ыбырай Роза</dc:creator>
  <dc:language>ru-RU</dc:language>
  <cp:keywords/>
  <dcterms:created xsi:type="dcterms:W3CDTF">2023-09-07T13:13:26Z</dcterms:created>
  <dcterms:modified xsi:type="dcterms:W3CDTF">2023-09-07T13:13:26Z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