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2031C" w14:textId="42B3B3A4" w:rsidR="00E16383" w:rsidRDefault="00C43D1C">
      <w:r w:rsidRPr="00C43D1C">
        <w:t>弊社のAPIでは、「株式会社ロゼッタ」が開発した、業界でトップレベルのAI自動機械翻訳エンジン『T4OO』などを搭載しています。 弊社のAPIで、90種類以上の世界中の言語の翻訳を簡単に実現できます。</w:t>
      </w:r>
    </w:p>
    <w:sectPr w:rsidR="00E163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1C"/>
    <w:rsid w:val="00C43D1C"/>
    <w:rsid w:val="00E1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AD28"/>
  <w15:chartTrackingRefBased/>
  <w15:docId w15:val="{B051039A-28D0-4BBC-9116-35F1EBA5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 翰明</dc:creator>
  <cp:keywords/>
  <dc:description/>
  <cp:lastModifiedBy>吳 翰明</cp:lastModifiedBy>
  <cp:revision>1</cp:revision>
  <dcterms:created xsi:type="dcterms:W3CDTF">2020-04-23T02:26:00Z</dcterms:created>
  <dcterms:modified xsi:type="dcterms:W3CDTF">2020-04-23T02:27:00Z</dcterms:modified>
</cp:coreProperties>
</file>