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1F199" w14:textId="0540ED98" w:rsidR="0007392C" w:rsidRPr="00B129A2" w:rsidRDefault="00EE39BE" w:rsidP="002F43F2">
      <w:pPr>
        <w:pStyle w:val="Titledocument"/>
        <w:rPr>
          <w:highlight w:val="darkCyan"/>
        </w:rPr>
      </w:pPr>
      <w:bookmarkStart w:id="0" w:name="_Hlk208112185"/>
      <w:bookmarkEnd w:id="0"/>
      <w:r w:rsidRPr="005779EB">
        <w:t>Gaze cuing effect in action control:</w:t>
      </w:r>
      <w:r w:rsidR="00FB3BCD" w:rsidRPr="005779EB">
        <w:t xml:space="preserve"> Yes, action matters!</w:t>
      </w:r>
    </w:p>
    <w:p w14:paraId="3A23A422" w14:textId="77777777" w:rsidR="00586A35" w:rsidRPr="00586A35" w:rsidRDefault="00586A35" w:rsidP="00A27742">
      <w:pPr>
        <w:pStyle w:val="Authors"/>
        <w:rPr>
          <w:rStyle w:val="FirstName"/>
          <w14:ligatures w14:val="standard"/>
        </w:rPr>
        <w:sectPr w:rsidR="00586A35" w:rsidRPr="00586A35" w:rsidSect="00586A35">
          <w:headerReference w:type="default" r:id="rId9"/>
          <w:footerReference w:type="even" r:id="rId10"/>
          <w:footerReference w:type="default" r:id="rId11"/>
          <w:endnotePr>
            <w:numFmt w:val="decimal"/>
          </w:endnotePr>
          <w:type w:val="continuous"/>
          <w:pgSz w:w="12240" w:h="15840" w:code="9"/>
          <w:pgMar w:top="1500" w:right="1080" w:bottom="1600" w:left="1080" w:header="1080" w:footer="1080" w:gutter="0"/>
          <w:pgNumType w:start="1"/>
          <w:cols w:space="480"/>
          <w:titlePg/>
          <w:docGrid w:linePitch="360"/>
        </w:sectPr>
      </w:pPr>
    </w:p>
    <w:p w14:paraId="589EA6BE" w14:textId="77777777" w:rsidR="00694749" w:rsidRPr="00586A35" w:rsidRDefault="00694749" w:rsidP="00694749">
      <w:pPr>
        <w:pStyle w:val="AuthNotes"/>
        <w:rPr>
          <w:color w:val="auto"/>
          <w14:ligatures w14:val="standard"/>
        </w:rPr>
      </w:pPr>
    </w:p>
    <w:p w14:paraId="0143E983" w14:textId="77777777" w:rsidR="00CA45BC" w:rsidRDefault="00CA45BC" w:rsidP="00CA45BC">
      <w:pPr>
        <w:pStyle w:val="Authors"/>
        <w:rPr>
          <w:rStyle w:val="FirstName"/>
          <w14:ligatures w14:val="standard"/>
        </w:rPr>
        <w:sectPr w:rsidR="00CA45BC"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16999085" w14:textId="77777777" w:rsidR="00CA45BC" w:rsidRPr="00586A35" w:rsidRDefault="00CA45BC" w:rsidP="00CA45BC">
      <w:pPr>
        <w:pStyle w:val="Authors"/>
        <w:rPr>
          <w14:ligatures w14:val="standard"/>
        </w:rPr>
      </w:pPr>
      <w:r>
        <w:rPr>
          <w:rStyle w:val="FirstName"/>
          <w14:ligatures w14:val="standard"/>
        </w:rPr>
        <w:t>Rozalina Petkova</w:t>
      </w:r>
      <w:r w:rsidRPr="00586A35">
        <w:rPr>
          <w:vertAlign w:val="superscript"/>
          <w14:ligatures w14:val="standard"/>
        </w:rPr>
        <w:t>†</w:t>
      </w:r>
      <w:r w:rsidRPr="00586A35">
        <w:rPr>
          <w14:ligatures w14:val="standard"/>
        </w:rPr>
        <w:br/>
      </w:r>
      <w:r w:rsidRPr="00586A35">
        <w:rPr>
          <w:rStyle w:val="OrgDiv"/>
          <w:color w:val="auto"/>
          <w:sz w:val="20"/>
          <w14:ligatures w14:val="standard"/>
        </w:rPr>
        <w:t xml:space="preserve"> </w:t>
      </w:r>
      <w:r>
        <w:rPr>
          <w:rStyle w:val="OrgDiv"/>
          <w:color w:val="auto"/>
          <w:sz w:val="20"/>
          <w14:ligatures w14:val="standard"/>
        </w:rPr>
        <w:t>C</w:t>
      </w:r>
      <w:r w:rsidRPr="00115341">
        <w:rPr>
          <w:rStyle w:val="OrgDiv"/>
          <w:color w:val="auto"/>
          <w:sz w:val="20"/>
          <w14:ligatures w14:val="standard"/>
        </w:rPr>
        <w:t>ognitive science and psychology</w:t>
      </w:r>
      <w:r w:rsidRPr="00586A35">
        <w:rPr>
          <w:rStyle w:val="OrgName"/>
          <w:color w:val="auto"/>
          <w:sz w:val="20"/>
          <w14:ligatures w14:val="standard"/>
        </w:rPr>
        <w:br/>
        <w:t xml:space="preserve"> </w:t>
      </w:r>
      <w:r>
        <w:rPr>
          <w:rStyle w:val="OrgName"/>
          <w:color w:val="auto"/>
          <w:sz w:val="20"/>
          <w14:ligatures w14:val="standard"/>
        </w:rPr>
        <w:t>New Bulgarian University</w:t>
      </w:r>
      <w:r>
        <w:rPr>
          <w:rStyle w:val="OrgName"/>
          <w:color w:val="auto"/>
          <w:sz w:val="20"/>
          <w14:ligatures w14:val="standard"/>
        </w:rPr>
        <w:br/>
      </w:r>
      <w:r w:rsidRPr="00586A35">
        <w:rPr>
          <w:rStyle w:val="OrgName"/>
          <w:color w:val="auto"/>
          <w:sz w:val="20"/>
          <w14:ligatures w14:val="standard"/>
        </w:rPr>
        <w:t xml:space="preserve"> </w:t>
      </w:r>
      <w:r w:rsidRPr="00F36726">
        <w:rPr>
          <w:rStyle w:val="City"/>
        </w:rPr>
        <w:t>Sofia</w:t>
      </w:r>
      <w:r w:rsidRPr="00586A35">
        <w:rPr>
          <w:sz w:val="20"/>
          <w14:ligatures w14:val="standard"/>
        </w:rPr>
        <w:br/>
        <w:t xml:space="preserve"> </w:t>
      </w:r>
      <w:r>
        <w:rPr>
          <w:rStyle w:val="Email"/>
          <w:color w:val="auto"/>
          <w:sz w:val="20"/>
          <w14:ligatures w14:val="standard"/>
        </w:rPr>
        <w:t>rozi.krasimirova</w:t>
      </w:r>
      <w:r w:rsidRPr="00586A35">
        <w:rPr>
          <w:rStyle w:val="Email"/>
          <w:color w:val="auto"/>
          <w:sz w:val="20"/>
          <w14:ligatures w14:val="standard"/>
        </w:rPr>
        <w:t>@</w:t>
      </w:r>
      <w:r>
        <w:rPr>
          <w:rStyle w:val="Email"/>
          <w:color w:val="auto"/>
          <w:sz w:val="20"/>
          <w14:ligatures w14:val="standard"/>
        </w:rPr>
        <w:t>gmail</w:t>
      </w:r>
      <w:r w:rsidRPr="00586A35">
        <w:rPr>
          <w:rStyle w:val="Email"/>
          <w:color w:val="auto"/>
          <w:sz w:val="20"/>
          <w14:ligatures w14:val="standard"/>
        </w:rPr>
        <w:t>.com</w:t>
      </w:r>
    </w:p>
    <w:p w14:paraId="1C49EB47" w14:textId="77777777" w:rsidR="00CA45BC" w:rsidRPr="00F36726" w:rsidRDefault="00CA45BC" w:rsidP="00CA45BC">
      <w:pPr>
        <w:pStyle w:val="Authors"/>
        <w:rPr>
          <w:rStyle w:val="Email"/>
          <w:color w:val="auto"/>
          <w:sz w:val="20"/>
        </w:rPr>
      </w:pPr>
      <w:r>
        <w:rPr>
          <w:rStyle w:val="FirstName"/>
          <w14:ligatures w14:val="standard"/>
        </w:rPr>
        <w:t>Armine</w:t>
      </w:r>
      <w:r w:rsidRPr="00586A35">
        <w:rPr>
          <w14:ligatures w14:val="standard"/>
        </w:rPr>
        <w:t xml:space="preserve"> </w:t>
      </w:r>
      <w:r>
        <w:rPr>
          <w:rStyle w:val="Surname"/>
          <w14:ligatures w14:val="standard"/>
        </w:rPr>
        <w:t>Janyan</w:t>
      </w:r>
      <w:r w:rsidRPr="00586A35">
        <w:rPr>
          <w14:ligatures w14:val="standard"/>
        </w:rPr>
        <w:br/>
      </w:r>
      <w:r w:rsidRPr="00586A35">
        <w:rPr>
          <w:rStyle w:val="OrgDiv"/>
          <w:color w:val="auto"/>
          <w:sz w:val="20"/>
          <w14:ligatures w14:val="standard"/>
        </w:rPr>
        <w:t xml:space="preserve"> </w:t>
      </w:r>
      <w:r>
        <w:rPr>
          <w:rStyle w:val="OrgDiv"/>
          <w:color w:val="auto"/>
          <w:sz w:val="20"/>
          <w14:ligatures w14:val="standard"/>
        </w:rPr>
        <w:t>C</w:t>
      </w:r>
      <w:r w:rsidRPr="00115341">
        <w:rPr>
          <w:rStyle w:val="OrgDiv"/>
          <w:color w:val="auto"/>
          <w:sz w:val="20"/>
          <w14:ligatures w14:val="standard"/>
        </w:rPr>
        <w:t>ognitive science and psychology</w:t>
      </w:r>
      <w:r w:rsidRPr="00F36726">
        <w:rPr>
          <w:rStyle w:val="OrgDiv"/>
          <w:color w:val="auto"/>
        </w:rPr>
        <w:br/>
        <w:t xml:space="preserve"> </w:t>
      </w:r>
      <w:r w:rsidRPr="00F36726">
        <w:rPr>
          <w:rStyle w:val="OrgName"/>
          <w:color w:val="auto"/>
          <w:sz w:val="20"/>
          <w14:ligatures w14:val="standard"/>
        </w:rPr>
        <w:t>New Bulgarian University</w:t>
      </w:r>
      <w:r w:rsidRPr="00F36726">
        <w:rPr>
          <w:rStyle w:val="OrgName"/>
          <w:color w:val="auto"/>
          <w:sz w:val="20"/>
          <w14:ligatures w14:val="standard"/>
        </w:rPr>
        <w:br/>
        <w:t xml:space="preserve"> </w:t>
      </w:r>
      <w:r w:rsidRPr="00F36726">
        <w:rPr>
          <w:rStyle w:val="City"/>
        </w:rPr>
        <w:t>Sofia</w:t>
      </w:r>
      <w:r w:rsidRPr="00586A35">
        <w:rPr>
          <w:sz w:val="20"/>
          <w14:ligatures w14:val="standard"/>
        </w:rPr>
        <w:br/>
        <w:t xml:space="preserve"> </w:t>
      </w:r>
      <w:r w:rsidRPr="00F36726">
        <w:rPr>
          <w:rStyle w:val="Email"/>
          <w:color w:val="auto"/>
          <w:sz w:val="20"/>
          <w14:ligatures w14:val="standard"/>
        </w:rPr>
        <w:t>ajanyan@cogs.nbu.bg</w:t>
      </w:r>
    </w:p>
    <w:p w14:paraId="2561F69F" w14:textId="77777777" w:rsidR="00CA45BC" w:rsidRDefault="00CA45BC" w:rsidP="00694749">
      <w:pPr>
        <w:pStyle w:val="AbsHead"/>
        <w:rPr>
          <w:lang w:val="en-US"/>
          <w14:ligatures w14:val="standard"/>
        </w:rPr>
        <w:sectPr w:rsidR="00CA45BC" w:rsidSect="00CA45BC">
          <w:endnotePr>
            <w:numFmt w:val="decimal"/>
          </w:endnotePr>
          <w:type w:val="continuous"/>
          <w:pgSz w:w="12240" w:h="15840" w:code="9"/>
          <w:pgMar w:top="1500" w:right="1080" w:bottom="1600" w:left="1080" w:header="1080" w:footer="1080" w:gutter="0"/>
          <w:pgNumType w:start="1"/>
          <w:cols w:num="2" w:space="480"/>
          <w:titlePg/>
          <w:docGrid w:linePitch="360"/>
        </w:sectPr>
      </w:pPr>
    </w:p>
    <w:p w14:paraId="2D96E7AE" w14:textId="77777777" w:rsidR="00586A35" w:rsidRDefault="00586A35" w:rsidP="00694749">
      <w:pPr>
        <w:pStyle w:val="AbsHead"/>
        <w:rPr>
          <w:lang w:val="en-US"/>
          <w14:ligatures w14:val="standard"/>
        </w:rPr>
      </w:pPr>
    </w:p>
    <w:p w14:paraId="596FB0AC" w14:textId="77777777" w:rsidR="00CA45BC" w:rsidRPr="00CA45BC" w:rsidRDefault="00CA45BC" w:rsidP="00694749">
      <w:pPr>
        <w:pStyle w:val="AbsHead"/>
        <w:rPr>
          <w:lang w:val="en-US"/>
          <w14:ligatures w14:val="standard"/>
        </w:rPr>
        <w:sectPr w:rsidR="00CA45BC" w:rsidRPr="00CA45BC"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2CD994AC" w14:textId="77777777" w:rsidR="0007392C" w:rsidRPr="00586A35" w:rsidRDefault="007A502C" w:rsidP="00694749">
      <w:pPr>
        <w:pStyle w:val="AbsHead"/>
        <w:rPr>
          <w14:ligatures w14:val="standard"/>
        </w:rPr>
      </w:pPr>
      <w:r w:rsidRPr="00586A35">
        <w:rPr>
          <w14:ligatures w14:val="standard"/>
        </w:rPr>
        <w:t>ABSTRACT</w:t>
      </w:r>
    </w:p>
    <w:p w14:paraId="13A5FA10" w14:textId="48AEF0A7" w:rsidR="00F30418" w:rsidRPr="00586A35" w:rsidRDefault="009D7D6A" w:rsidP="00090531">
      <w:pPr>
        <w:pStyle w:val="Abstract"/>
        <w:rPr>
          <w:lang w:val="en-GB" w:eastAsia="ja-JP"/>
          <w14:ligatures w14:val="standard"/>
        </w:rPr>
      </w:pPr>
      <w:r w:rsidRPr="003F3012">
        <w:rPr>
          <w:szCs w:val="18"/>
          <w14:ligatures w14:val="standard"/>
        </w:rPr>
        <w:t xml:space="preserve">One of the core components of non-verbal communication and joint attention is gaze cuing – </w:t>
      </w:r>
      <w:r w:rsidR="000F49F5" w:rsidRPr="003F3012">
        <w:rPr>
          <w:szCs w:val="18"/>
          <w14:ligatures w14:val="standard"/>
        </w:rPr>
        <w:t>our</w:t>
      </w:r>
      <w:r w:rsidRPr="003F3012">
        <w:rPr>
          <w:szCs w:val="18"/>
          <w14:ligatures w14:val="standard"/>
        </w:rPr>
        <w:t xml:space="preserve"> tendency to shift attention in the direction of another’s gaze.</w:t>
      </w:r>
      <w:r w:rsidR="004023EC" w:rsidRPr="003F3012">
        <w:rPr>
          <w:szCs w:val="18"/>
          <w14:ligatures w14:val="standard"/>
        </w:rPr>
        <w:t xml:space="preserve"> While extensively studied, little is known about </w:t>
      </w:r>
      <w:r w:rsidR="00311B8F" w:rsidRPr="003F3012">
        <w:rPr>
          <w:szCs w:val="18"/>
          <w14:ligatures w14:val="standard"/>
        </w:rPr>
        <w:t>whether</w:t>
      </w:r>
      <w:r w:rsidR="00C227E9" w:rsidRPr="003F3012">
        <w:rPr>
          <w:szCs w:val="18"/>
          <w14:ligatures w14:val="standard"/>
        </w:rPr>
        <w:t xml:space="preserve"> and how</w:t>
      </w:r>
      <w:r w:rsidR="00311B8F" w:rsidRPr="003F3012">
        <w:rPr>
          <w:szCs w:val="18"/>
          <w14:ligatures w14:val="standard"/>
        </w:rPr>
        <w:t xml:space="preserve"> </w:t>
      </w:r>
      <w:r w:rsidR="004023EC" w:rsidRPr="003F3012">
        <w:rPr>
          <w:szCs w:val="18"/>
          <w14:ligatures w14:val="standard"/>
        </w:rPr>
        <w:t>internal states like the sense of agency influence sensitivity to gaze cues. In this study, we investigat</w:t>
      </w:r>
      <w:r w:rsidR="00FD2AD8" w:rsidRPr="003F3012">
        <w:rPr>
          <w:szCs w:val="18"/>
          <w14:ligatures w14:val="standard"/>
        </w:rPr>
        <w:t>e</w:t>
      </w:r>
      <w:r w:rsidR="004023EC" w:rsidRPr="003F3012">
        <w:rPr>
          <w:szCs w:val="18"/>
          <w14:ligatures w14:val="standard"/>
        </w:rPr>
        <w:t xml:space="preserve"> </w:t>
      </w:r>
      <w:r w:rsidR="00B54AA8" w:rsidRPr="003F3012">
        <w:rPr>
          <w:szCs w:val="18"/>
          <w14:ligatures w14:val="standard"/>
        </w:rPr>
        <w:t xml:space="preserve">whether </w:t>
      </w:r>
      <w:r w:rsidR="004023EC" w:rsidRPr="003F3012">
        <w:rPr>
          <w:szCs w:val="18"/>
          <w14:ligatures w14:val="standard"/>
        </w:rPr>
        <w:t>control over action</w:t>
      </w:r>
      <w:r w:rsidR="00A32C7D" w:rsidRPr="003F3012">
        <w:rPr>
          <w:szCs w:val="18"/>
          <w14:ligatures w14:val="standard"/>
        </w:rPr>
        <w:t xml:space="preserve"> (action-outcome consistency)</w:t>
      </w:r>
      <w:r w:rsidR="004023EC" w:rsidRPr="003F3012">
        <w:rPr>
          <w:szCs w:val="18"/>
          <w14:ligatures w14:val="standard"/>
        </w:rPr>
        <w:t xml:space="preserve"> modulates gaze cueing effect</w:t>
      </w:r>
      <w:r w:rsidR="009E7485" w:rsidRPr="003F3012">
        <w:rPr>
          <w:szCs w:val="18"/>
          <w14:ligatures w14:val="standard"/>
        </w:rPr>
        <w:t xml:space="preserve"> (GCE)</w:t>
      </w:r>
      <w:r w:rsidR="004023EC" w:rsidRPr="003F3012">
        <w:rPr>
          <w:szCs w:val="18"/>
          <w14:ligatures w14:val="standard"/>
        </w:rPr>
        <w:t xml:space="preserve"> in a color </w:t>
      </w:r>
      <w:r w:rsidR="00CE2482" w:rsidRPr="003F3012">
        <w:rPr>
          <w:szCs w:val="18"/>
          <w14:ligatures w14:val="standard"/>
        </w:rPr>
        <w:t xml:space="preserve">discrimination </w:t>
      </w:r>
      <w:r w:rsidR="004023EC" w:rsidRPr="003F3012">
        <w:rPr>
          <w:szCs w:val="18"/>
          <w14:ligatures w14:val="standard"/>
        </w:rPr>
        <w:t xml:space="preserve">task. Participants viewed </w:t>
      </w:r>
      <w:r w:rsidR="006758E7" w:rsidRPr="003F3012">
        <w:rPr>
          <w:szCs w:val="18"/>
          <w14:ligatures w14:val="standard"/>
        </w:rPr>
        <w:t xml:space="preserve">a </w:t>
      </w:r>
      <w:r w:rsidR="004023EC" w:rsidRPr="003F3012">
        <w:rPr>
          <w:szCs w:val="18"/>
          <w14:ligatures w14:val="standard"/>
        </w:rPr>
        <w:t>synthetic face with lateral</w:t>
      </w:r>
      <w:r w:rsidR="00AA7765" w:rsidRPr="003F3012">
        <w:rPr>
          <w:szCs w:val="18"/>
          <w14:ligatures w14:val="standard"/>
        </w:rPr>
        <w:t xml:space="preserve"> (left/right)</w:t>
      </w:r>
      <w:r w:rsidR="004023EC" w:rsidRPr="003F3012">
        <w:rPr>
          <w:szCs w:val="18"/>
          <w14:ligatures w14:val="standard"/>
        </w:rPr>
        <w:t xml:space="preserve"> pupil motion, followed by the appearance of a colored target to the left</w:t>
      </w:r>
      <w:r w:rsidR="00124C07" w:rsidRPr="003F3012">
        <w:rPr>
          <w:szCs w:val="18"/>
          <w14:ligatures w14:val="standard"/>
        </w:rPr>
        <w:t>/</w:t>
      </w:r>
      <w:r w:rsidR="004023EC" w:rsidRPr="003F3012">
        <w:rPr>
          <w:szCs w:val="18"/>
          <w14:ligatures w14:val="standard"/>
        </w:rPr>
        <w:t xml:space="preserve">right of the face. During each trial, participants either passively observed the </w:t>
      </w:r>
      <w:r w:rsidR="000D576D">
        <w:rPr>
          <w:szCs w:val="18"/>
          <w14:ligatures w14:val="standard"/>
        </w:rPr>
        <w:t xml:space="preserve">face </w:t>
      </w:r>
      <w:r w:rsidR="004023EC" w:rsidRPr="003F3012">
        <w:rPr>
          <w:szCs w:val="18"/>
          <w14:ligatures w14:val="standard"/>
        </w:rPr>
        <w:t>stimulus onset (</w:t>
      </w:r>
      <w:r w:rsidR="009C1532" w:rsidRPr="003F3012">
        <w:rPr>
          <w:szCs w:val="18"/>
          <w14:ligatures w14:val="standard"/>
        </w:rPr>
        <w:t xml:space="preserve">control </w:t>
      </w:r>
      <w:r w:rsidR="004023EC" w:rsidRPr="003F3012">
        <w:rPr>
          <w:szCs w:val="18"/>
          <w14:ligatures w14:val="standard"/>
        </w:rPr>
        <w:t xml:space="preserve">condition), or actively initiated it by selecting a </w:t>
      </w:r>
      <w:r w:rsidR="002A4CAC" w:rsidRPr="003F3012">
        <w:rPr>
          <w:szCs w:val="18"/>
          <w14:ligatures w14:val="standard"/>
        </w:rPr>
        <w:t xml:space="preserve">gaze </w:t>
      </w:r>
      <w:r w:rsidR="004023EC" w:rsidRPr="003F3012">
        <w:rPr>
          <w:szCs w:val="18"/>
          <w14:ligatures w14:val="standard"/>
        </w:rPr>
        <w:t>direction</w:t>
      </w:r>
      <w:r w:rsidR="00124C07" w:rsidRPr="003F3012">
        <w:rPr>
          <w:szCs w:val="18"/>
          <w14:ligatures w14:val="standard"/>
        </w:rPr>
        <w:t xml:space="preserve"> </w:t>
      </w:r>
      <w:r w:rsidR="00124C07" w:rsidRPr="005779EB">
        <w:rPr>
          <w:szCs w:val="18"/>
        </w:rPr>
        <w:t xml:space="preserve">and pressing a corresponding </w:t>
      </w:r>
      <w:r w:rsidR="005779EB" w:rsidRPr="005779EB">
        <w:rPr>
          <w:szCs w:val="18"/>
        </w:rPr>
        <w:t>button.</w:t>
      </w:r>
      <w:r w:rsidR="004023EC" w:rsidRPr="003F3012">
        <w:rPr>
          <w:szCs w:val="18"/>
          <w14:ligatures w14:val="standard"/>
        </w:rPr>
        <w:t xml:space="preserve"> Crucially, in active trials, the gaze</w:t>
      </w:r>
      <w:r w:rsidR="000A38CE" w:rsidRPr="003F3012">
        <w:rPr>
          <w:szCs w:val="18"/>
          <w14:ligatures w14:val="standard"/>
        </w:rPr>
        <w:t xml:space="preserve"> direction</w:t>
      </w:r>
      <w:r w:rsidR="004023EC" w:rsidRPr="003F3012">
        <w:rPr>
          <w:szCs w:val="18"/>
          <w14:ligatures w14:val="standard"/>
        </w:rPr>
        <w:t xml:space="preserve"> could be consistent or inconsistent with the chosen direction</w:t>
      </w:r>
      <w:r w:rsidR="00CE2482" w:rsidRPr="003F3012">
        <w:rPr>
          <w:szCs w:val="18"/>
          <w14:ligatures w14:val="standard"/>
        </w:rPr>
        <w:t>.</w:t>
      </w:r>
      <w:r w:rsidR="004023EC" w:rsidRPr="003F3012">
        <w:rPr>
          <w:szCs w:val="18"/>
          <w14:ligatures w14:val="standard"/>
        </w:rPr>
        <w:t xml:space="preserve"> </w:t>
      </w:r>
      <w:r w:rsidR="009D2C42" w:rsidRPr="003F3012">
        <w:rPr>
          <w:szCs w:val="18"/>
          <w14:ligatures w14:val="standard"/>
        </w:rPr>
        <w:t>The results</w:t>
      </w:r>
      <w:r w:rsidR="00136EFF" w:rsidRPr="003F3012">
        <w:rPr>
          <w:szCs w:val="18"/>
          <w14:ligatures w14:val="standard"/>
        </w:rPr>
        <w:t xml:space="preserve"> show</w:t>
      </w:r>
      <w:r w:rsidR="002C4A8B" w:rsidRPr="003F3012">
        <w:rPr>
          <w:szCs w:val="18"/>
          <w14:ligatures w14:val="standard"/>
        </w:rPr>
        <w:t>ed</w:t>
      </w:r>
      <w:r w:rsidR="009D2C42" w:rsidRPr="003F3012">
        <w:rPr>
          <w:szCs w:val="18"/>
          <w14:ligatures w14:val="standard"/>
        </w:rPr>
        <w:t xml:space="preserve"> </w:t>
      </w:r>
      <w:r w:rsidR="00927A6D" w:rsidRPr="003F3012">
        <w:rPr>
          <w:szCs w:val="18"/>
          <w14:ligatures w14:val="standard"/>
        </w:rPr>
        <w:t>larger in magnitude</w:t>
      </w:r>
      <w:r w:rsidR="00136EFF" w:rsidRPr="003F3012">
        <w:rPr>
          <w:szCs w:val="18"/>
          <w14:ligatures w14:val="standard"/>
        </w:rPr>
        <w:t xml:space="preserve"> GCE </w:t>
      </w:r>
      <w:r w:rsidR="00284EA5">
        <w:rPr>
          <w:szCs w:val="18"/>
          <w14:ligatures w14:val="standard"/>
        </w:rPr>
        <w:t>in</w:t>
      </w:r>
      <w:r w:rsidR="00136EFF" w:rsidRPr="003F3012">
        <w:rPr>
          <w:szCs w:val="18"/>
          <w14:ligatures w14:val="standard"/>
        </w:rPr>
        <w:t xml:space="preserve"> a</w:t>
      </w:r>
      <w:r w:rsidR="00284EA5">
        <w:rPr>
          <w:szCs w:val="18"/>
          <w14:ligatures w14:val="standard"/>
        </w:rPr>
        <w:t>ction-outcome consistent condition;</w:t>
      </w:r>
      <w:r w:rsidR="00136EFF" w:rsidRPr="003F3012">
        <w:rPr>
          <w:szCs w:val="18"/>
          <w14:ligatures w14:val="standard"/>
        </w:rPr>
        <w:t xml:space="preserve"> moreover, time distribution analyses </w:t>
      </w:r>
      <w:r w:rsidR="002C4A8B" w:rsidRPr="003F3012">
        <w:rPr>
          <w:szCs w:val="18"/>
          <w14:ligatures w14:val="standard"/>
        </w:rPr>
        <w:t>sugg</w:t>
      </w:r>
      <w:r w:rsidR="00136EFF" w:rsidRPr="003F3012">
        <w:rPr>
          <w:szCs w:val="18"/>
          <w14:ligatures w14:val="standard"/>
        </w:rPr>
        <w:t xml:space="preserve">ested that the GCE appeared early on, in contrast to control and action-outcome inconsistent conditions. </w:t>
      </w:r>
      <w:r w:rsidR="009453E2" w:rsidRPr="003F3012">
        <w:rPr>
          <w:szCs w:val="18"/>
          <w14:ligatures w14:val="standard"/>
        </w:rPr>
        <w:t>T</w:t>
      </w:r>
      <w:r w:rsidR="00D032C7" w:rsidRPr="003F3012">
        <w:rPr>
          <w:szCs w:val="18"/>
          <w14:ligatures w14:val="standard"/>
        </w:rPr>
        <w:t>ogether, these</w:t>
      </w:r>
      <w:r w:rsidR="001377F6" w:rsidRPr="003F3012">
        <w:rPr>
          <w:szCs w:val="18"/>
          <w14:ligatures w14:val="standard"/>
        </w:rPr>
        <w:t xml:space="preserve"> data</w:t>
      </w:r>
      <w:r w:rsidR="009453E2" w:rsidRPr="003F3012">
        <w:rPr>
          <w:szCs w:val="18"/>
          <w14:ligatures w14:val="standard"/>
        </w:rPr>
        <w:t xml:space="preserve"> point towards a</w:t>
      </w:r>
      <w:r w:rsidR="005B70E5" w:rsidRPr="003F3012">
        <w:rPr>
          <w:szCs w:val="18"/>
          <w14:ligatures w14:val="standard"/>
        </w:rPr>
        <w:t xml:space="preserve"> possible </w:t>
      </w:r>
      <w:r w:rsidR="001D25C7" w:rsidRPr="003F3012">
        <w:rPr>
          <w:szCs w:val="18"/>
          <w14:ligatures w14:val="standard"/>
        </w:rPr>
        <w:t>(</w:t>
      </w:r>
      <w:r w:rsidR="00371F10" w:rsidRPr="003F3012">
        <w:rPr>
          <w:szCs w:val="18"/>
          <w14:ligatures w14:val="standard"/>
        </w:rPr>
        <w:t>facilitative</w:t>
      </w:r>
      <w:r w:rsidR="001D25C7" w:rsidRPr="003F3012">
        <w:rPr>
          <w:szCs w:val="18"/>
          <w14:ligatures w14:val="standard"/>
        </w:rPr>
        <w:t>)</w:t>
      </w:r>
      <w:r w:rsidR="00371F10" w:rsidRPr="003F3012">
        <w:rPr>
          <w:szCs w:val="18"/>
          <w14:ligatures w14:val="standard"/>
        </w:rPr>
        <w:t xml:space="preserve"> </w:t>
      </w:r>
      <w:r w:rsidR="007030C1" w:rsidRPr="003F3012">
        <w:rPr>
          <w:szCs w:val="18"/>
          <w14:ligatures w14:val="standard"/>
        </w:rPr>
        <w:t>link between action control and</w:t>
      </w:r>
      <w:r w:rsidR="00927A6D" w:rsidRPr="003F3012">
        <w:rPr>
          <w:szCs w:val="18"/>
          <w14:ligatures w14:val="standard"/>
        </w:rPr>
        <w:t xml:space="preserve"> </w:t>
      </w:r>
      <w:r w:rsidR="00203E2A" w:rsidRPr="003F3012">
        <w:rPr>
          <w:szCs w:val="18"/>
          <w14:ligatures w14:val="standard"/>
        </w:rPr>
        <w:t>social attentional orienting</w:t>
      </w:r>
      <w:r w:rsidR="003A57A4" w:rsidRPr="003F3012">
        <w:rPr>
          <w:szCs w:val="18"/>
          <w14:ligatures w14:val="standard"/>
        </w:rPr>
        <w:t>.</w:t>
      </w:r>
    </w:p>
    <w:p w14:paraId="5B4BAE4D"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016AB371" w14:textId="1D906CF0" w:rsidR="0007392C" w:rsidRPr="00586A35" w:rsidRDefault="00DF15B7" w:rsidP="00675128">
      <w:pPr>
        <w:pStyle w:val="KeyWords"/>
        <w:rPr>
          <w:lang w:eastAsia="it-IT"/>
          <w14:ligatures w14:val="standard"/>
        </w:rPr>
      </w:pPr>
      <w:r w:rsidRPr="005779EB">
        <w:rPr>
          <w:lang w:eastAsia="it-IT"/>
          <w14:ligatures w14:val="standard"/>
        </w:rPr>
        <w:t xml:space="preserve">Gaze cuing, </w:t>
      </w:r>
      <w:r w:rsidR="00942742" w:rsidRPr="005779EB">
        <w:rPr>
          <w:lang w:eastAsia="it-IT"/>
          <w14:ligatures w14:val="standard"/>
        </w:rPr>
        <w:t xml:space="preserve">Action control, </w:t>
      </w:r>
      <w:r w:rsidRPr="005779EB">
        <w:rPr>
          <w:lang w:eastAsia="it-IT"/>
          <w14:ligatures w14:val="standard"/>
        </w:rPr>
        <w:t>Sen</w:t>
      </w:r>
      <w:r w:rsidR="0040075E" w:rsidRPr="005779EB">
        <w:rPr>
          <w:lang w:eastAsia="it-IT"/>
          <w14:ligatures w14:val="standard"/>
        </w:rPr>
        <w:t>s</w:t>
      </w:r>
      <w:r w:rsidRPr="005779EB">
        <w:rPr>
          <w:lang w:eastAsia="it-IT"/>
          <w14:ligatures w14:val="standard"/>
        </w:rPr>
        <w:t xml:space="preserve">e of agency, </w:t>
      </w:r>
      <w:r w:rsidR="002D1916">
        <w:rPr>
          <w:lang w:eastAsia="it-IT"/>
          <w14:ligatures w14:val="standard"/>
        </w:rPr>
        <w:t>S</w:t>
      </w:r>
      <w:r w:rsidRPr="005779EB">
        <w:rPr>
          <w:lang w:eastAsia="it-IT"/>
          <w14:ligatures w14:val="standard"/>
        </w:rPr>
        <w:t>ocial cognition</w:t>
      </w:r>
      <w:r w:rsidR="00942742" w:rsidRPr="003F3012">
        <w:rPr>
          <w:lang w:eastAsia="it-IT"/>
          <w14:ligatures w14:val="standard"/>
        </w:rPr>
        <w:t>,</w:t>
      </w:r>
      <w:r w:rsidR="002D1916" w:rsidRPr="003F3012">
        <w:rPr>
          <w:lang w:eastAsia="it-IT"/>
          <w14:ligatures w14:val="standard"/>
        </w:rPr>
        <w:t xml:space="preserve"> </w:t>
      </w:r>
      <w:r w:rsidR="002D1916">
        <w:rPr>
          <w:lang w:eastAsia="it-IT"/>
          <w14:ligatures w14:val="standard"/>
        </w:rPr>
        <w:t>S</w:t>
      </w:r>
      <w:r w:rsidR="00942742" w:rsidRPr="003F3012">
        <w:rPr>
          <w:lang w:eastAsia="it-IT"/>
          <w14:ligatures w14:val="standard"/>
        </w:rPr>
        <w:t xml:space="preserve">ocial attention, </w:t>
      </w:r>
      <w:r w:rsidR="00D956C3" w:rsidRPr="003F3012">
        <w:rPr>
          <w:lang w:eastAsia="it-IT"/>
          <w14:ligatures w14:val="standard"/>
        </w:rPr>
        <w:t>RT</w:t>
      </w:r>
      <w:r w:rsidR="00EE39BE" w:rsidRPr="003F3012">
        <w:rPr>
          <w:lang w:eastAsia="it-IT"/>
          <w14:ligatures w14:val="standard"/>
        </w:rPr>
        <w:t>.</w:t>
      </w:r>
    </w:p>
    <w:p w14:paraId="7572A601" w14:textId="77777777" w:rsidR="00586A35" w:rsidRPr="00586A35" w:rsidRDefault="00586A35" w:rsidP="00586A35">
      <w:pPr>
        <w:pStyle w:val="RefFormatHead"/>
        <w:rPr>
          <w14:ligatures w14:val="standard"/>
        </w:rPr>
      </w:pPr>
      <w:r w:rsidRPr="00586A35">
        <w:rPr>
          <w14:ligatures w14:val="standard"/>
        </w:rPr>
        <w:t>ACM Reference format:</w:t>
      </w:r>
    </w:p>
    <w:p w14:paraId="4A5757CB" w14:textId="3962D585" w:rsidR="00672ABE" w:rsidRDefault="00090531" w:rsidP="00586A35">
      <w:pPr>
        <w:pStyle w:val="RefFormatPara"/>
        <w:rPr>
          <w14:ligatures w14:val="standard"/>
        </w:rPr>
      </w:pPr>
      <w:r w:rsidRPr="00C275D2">
        <w:t>Gaze cuing effect in action control: Yes, action matters!</w:t>
      </w:r>
      <w:r w:rsidR="005779EB">
        <w:rPr>
          <w:lang w:val="en-US"/>
        </w:rPr>
        <w:t>,</w:t>
      </w:r>
      <w:r w:rsidR="00586A35" w:rsidRPr="00586A35">
        <w:rPr>
          <w:bCs/>
          <w14:ligatures w14:val="standard"/>
        </w:rPr>
        <w:t xml:space="preserve"> </w:t>
      </w:r>
      <w:r w:rsidR="00586A35" w:rsidRPr="005779EB">
        <w:rPr>
          <w:bCs/>
          <w14:ligatures w14:val="standard"/>
        </w:rPr>
        <w:t xml:space="preserve">In </w:t>
      </w:r>
      <w:r w:rsidR="00586A35" w:rsidRPr="005779EB">
        <w:rPr>
          <w:bCs/>
          <w:i/>
          <w14:ligatures w14:val="standard"/>
        </w:rPr>
        <w:t xml:space="preserve">Proceedings of </w:t>
      </w:r>
      <w:r w:rsidR="00A84996" w:rsidRPr="005779EB">
        <w:rPr>
          <w:bCs/>
          <w:i/>
          <w14:ligatures w14:val="standard"/>
        </w:rPr>
        <w:t xml:space="preserve">GENEA Workshop, </w:t>
      </w:r>
      <w:r w:rsidR="00586A35" w:rsidRPr="005779EB">
        <w:rPr>
          <w:bCs/>
          <w:i/>
          <w14:ligatures w14:val="standard"/>
        </w:rPr>
        <w:t xml:space="preserve">ACM, </w:t>
      </w:r>
      <w:r w:rsidR="00A84996" w:rsidRPr="005779EB">
        <w:rPr>
          <w:bCs/>
          <w:i/>
          <w14:ligatures w14:val="standard"/>
        </w:rPr>
        <w:t>Dublin, Ireland</w:t>
      </w:r>
      <w:r w:rsidR="00586A35" w:rsidRPr="005779EB">
        <w:rPr>
          <w:bCs/>
          <w:i/>
          <w14:ligatures w14:val="standard"/>
        </w:rPr>
        <w:t xml:space="preserve">, </w:t>
      </w:r>
      <w:r w:rsidR="00A84996" w:rsidRPr="005779EB">
        <w:rPr>
          <w:bCs/>
          <w:i/>
          <w14:ligatures w14:val="standard"/>
        </w:rPr>
        <w:t>8</w:t>
      </w:r>
      <w:r w:rsidR="00586A35" w:rsidRPr="005779EB">
        <w:rPr>
          <w:bCs/>
          <w:i/>
          <w14:ligatures w14:val="standard"/>
        </w:rPr>
        <w:t xml:space="preserve"> pages.</w:t>
      </w:r>
      <w:r w:rsidRPr="005779EB" w:rsidDel="00090531">
        <w:rPr>
          <w14:ligatures w14:val="standard"/>
        </w:rPr>
        <w:t xml:space="preserve"> </w:t>
      </w:r>
    </w:p>
    <w:p w14:paraId="13CFEDA0" w14:textId="320B3757" w:rsidR="00672ABE" w:rsidRPr="00586A35" w:rsidRDefault="00672ABE" w:rsidP="003F3012">
      <w:pPr>
        <w:pStyle w:val="Head1"/>
      </w:pPr>
      <w:r w:rsidRPr="00672ABE">
        <w:t>Literature</w:t>
      </w:r>
    </w:p>
    <w:p w14:paraId="2ADBD5AA" w14:textId="77777777" w:rsidR="0007392C" w:rsidRPr="00586A35" w:rsidRDefault="00672ABE" w:rsidP="005001CE">
      <w:pPr>
        <w:pStyle w:val="Head2"/>
      </w:pPr>
      <w:r w:rsidRPr="00672ABE">
        <w:t>Gaze Cueing and Attentional Orienting</w:t>
      </w:r>
    </w:p>
    <w:p w14:paraId="4EA0999F" w14:textId="0D7DF71B" w:rsidR="00672ABE" w:rsidRPr="00672ABE" w:rsidRDefault="00672ABE" w:rsidP="002F43F2">
      <w:pPr>
        <w:pStyle w:val="ParaContinue"/>
      </w:pPr>
      <w:r w:rsidRPr="00672ABE">
        <w:t>Our environment is crowded with objects that often require further scrutiny, and attending to goal-relevant features of the environment is essential for effective functioning. However, attention is a finite resource and must be selectively deployed</w:t>
      </w:r>
      <w:r w:rsidR="0049162A">
        <w:t xml:space="preserve"> </w:t>
      </w:r>
      <w:r w:rsidR="00003D02" w:rsidRPr="00672ABE">
        <w:rPr>
          <w:lang w:eastAsia="it-IT"/>
        </w:rPr>
        <w:t>(Lavie, 2005)</w:t>
      </w:r>
      <w:r w:rsidR="0049162A">
        <w:t xml:space="preserve">. </w:t>
      </w:r>
      <w:r w:rsidRPr="00672ABE">
        <w:t>Consequently, people use various directional cues to focus their attention on important events and objects in the world. As highly social creatures, humans rely strongly on social cues like gaze direction, head orientation, or pointing gestures.</w:t>
      </w:r>
    </w:p>
    <w:p w14:paraId="500FDF95" w14:textId="77777777" w:rsidR="00003D02" w:rsidRDefault="00672ABE" w:rsidP="002F43F2">
      <w:pPr>
        <w:pStyle w:val="ParaContinue"/>
      </w:pPr>
      <w:r w:rsidRPr="00672ABE">
        <w:t>Reported at the end of the 20th century, Gaze cueing (GC) refers to the human tendency to shift attention in the direction of another person’s gaze</w:t>
      </w:r>
      <w:r w:rsidR="0049162A">
        <w:t xml:space="preserve"> </w:t>
      </w:r>
      <w:r w:rsidR="00003D02" w:rsidRPr="00672ABE">
        <w:rPr>
          <w:lang w:eastAsia="it-IT"/>
        </w:rPr>
        <w:t>(Driver et al., 1999; Friesen &amp; Kingstone, 1998; Hietanen, 1999; Langton &amp; Bruce, 1999)</w:t>
      </w:r>
      <w:r w:rsidRPr="00421601">
        <w:t xml:space="preserve">. </w:t>
      </w:r>
      <w:r w:rsidRPr="00672ABE">
        <w:t>It serves as a fundamental social cue, allowing individuals to infer the attentional focus of others and thereby engage in joint attention—a core component of human social interaction</w:t>
      </w:r>
      <w:r w:rsidR="00421601">
        <w:t xml:space="preserve"> </w:t>
      </w:r>
      <w:r w:rsidR="00003D02" w:rsidRPr="00672ABE">
        <w:rPr>
          <w:lang w:eastAsia="it-IT"/>
        </w:rPr>
        <w:t>(Baron-Cohen, 1995; Baron-Cohen et al., 1985; Tomasello et al., 2005)</w:t>
      </w:r>
      <w:r w:rsidRPr="00672ABE">
        <w:t>. As such, GC plays a central role in non-verbal and embodied communication, and is considered one of the foundational mechanisms supporting the development of theory of mind and the capacity to navigate complex social environments</w:t>
      </w:r>
      <w:r w:rsidR="00421601">
        <w:t xml:space="preserve"> </w:t>
      </w:r>
      <w:r w:rsidR="00003D02" w:rsidRPr="00672ABE">
        <w:rPr>
          <w:lang w:eastAsia="it-IT"/>
        </w:rPr>
        <w:t>(Baron-Cohen, 1995; Baron-Cohen et al., 1985; Tomasello et al., 2005)</w:t>
      </w:r>
      <w:r w:rsidRPr="00672ABE">
        <w:t>.</w:t>
      </w:r>
    </w:p>
    <w:p w14:paraId="023251D1" w14:textId="0DC3FD2C" w:rsidR="00672ABE" w:rsidRPr="00672ABE" w:rsidRDefault="00672ABE" w:rsidP="002F43F2">
      <w:pPr>
        <w:pStyle w:val="ParaContinue"/>
      </w:pPr>
      <w:r w:rsidRPr="00672ABE">
        <w:t>Originally considered a reflexive mechanism</w:t>
      </w:r>
      <w:r w:rsidR="00421601">
        <w:t xml:space="preserve"> </w:t>
      </w:r>
      <w:r w:rsidR="00003D02" w:rsidRPr="00672ABE">
        <w:rPr>
          <w:lang w:eastAsia="it-IT"/>
        </w:rPr>
        <w:t>(Driver et al., 1999; Friesen &amp; Kingstone, 1998; Hietanen, 1999; Langton &amp; Bruce, 1999)</w:t>
      </w:r>
      <w:r w:rsidRPr="00672ABE">
        <w:t>, GC has been widely used to investigate attentional orienting processes. It is most commonly studied using a variant of the Posner cueing paradigm</w:t>
      </w:r>
      <w:r w:rsidR="00421601">
        <w:t xml:space="preserve"> </w:t>
      </w:r>
      <w:r w:rsidR="00003D02" w:rsidRPr="00672ABE">
        <w:rPr>
          <w:lang w:eastAsia="it-IT"/>
        </w:rPr>
        <w:t>(Posner, 1980)</w:t>
      </w:r>
      <w:r w:rsidRPr="00672ABE">
        <w:t>, a classic attentional task in which a centrally presented cue (e.g., an arrow or a flash) precedes a target, and responses are typically faster when the cue validly predicts the target’s location.</w:t>
      </w:r>
    </w:p>
    <w:p w14:paraId="5F79655D" w14:textId="3D12BBFF" w:rsidR="00672ABE" w:rsidRPr="00672ABE" w:rsidRDefault="00672ABE" w:rsidP="002F43F2">
      <w:pPr>
        <w:pStyle w:val="ParaContinue"/>
      </w:pPr>
      <w:r w:rsidRPr="00672ABE">
        <w:t>In the GC version, the symbolic cue is replaced by a centrally presented face whose gaze shifts left or right. Even when gaze direction is non-predictive of the target’s location, participants respond faster to targets appearing in the gazed-at direction—a phenomenon known as the gaze cueing effect (GCE). This effect has been interpreted as evidence for the reflexive and automatic nature of gaze-induced attentional shifts</w:t>
      </w:r>
      <w:r w:rsidR="00421601">
        <w:t xml:space="preserve"> </w:t>
      </w:r>
      <w:r w:rsidR="00003D02" w:rsidRPr="00672ABE">
        <w:rPr>
          <w:lang w:eastAsia="it-IT"/>
        </w:rPr>
        <w:t>(Driver et al., 1999; Friesen &amp; Kingstone, 1998; Hietanen, 1999; Langton &amp; Bruce, 1999)</w:t>
      </w:r>
      <w:r w:rsidRPr="00421601">
        <w:t xml:space="preserve">. </w:t>
      </w:r>
      <w:r w:rsidRPr="00672ABE">
        <w:t>Later support for those findings come also from eye-tracking studies that show that gaze-congruent targets elicit faster saccadic movements</w:t>
      </w:r>
      <w:r w:rsidR="00421601">
        <w:t xml:space="preserve"> </w:t>
      </w:r>
      <w:r w:rsidR="00003D02" w:rsidRPr="00672ABE">
        <w:rPr>
          <w:lang w:eastAsia="it-IT"/>
        </w:rPr>
        <w:t>(Mansfield et al., 2003; Matsunaka &amp; Hiraki, 2019)</w:t>
      </w:r>
      <w:r w:rsidR="00421601">
        <w:t>.</w:t>
      </w:r>
    </w:p>
    <w:p w14:paraId="4F328198" w14:textId="7B7590F7" w:rsidR="00672ABE" w:rsidRDefault="00672ABE" w:rsidP="002F43F2">
      <w:pPr>
        <w:pStyle w:val="ParaContinue"/>
      </w:pPr>
      <w:r w:rsidRPr="00672ABE">
        <w:lastRenderedPageBreak/>
        <w:t xml:space="preserve">However, the reflexive nature of gaze cueing has since been questioned. A growing body of research suggests that, while gaze cueing may be fast and seemingly automatic, it is not purely reflexive but is modulated by contextual, emotional, and social factors, as well as higher-order cognitive processes </w:t>
      </w:r>
      <w:r w:rsidR="00003D02" w:rsidRPr="00672ABE">
        <w:rPr>
          <w:lang w:eastAsia="it-IT"/>
        </w:rPr>
        <w:t>(for a review, see Dalmaso et al., 2020)</w:t>
      </w:r>
      <w:r w:rsidRPr="00672ABE">
        <w:t>. These findings indicate that gaze cueing is deeply intertwined with social meaning and cognitive mechanisms, highlighting its dynamic and flexible nature and setting the stage for further exploration of its modulat</w:t>
      </w:r>
      <w:r w:rsidR="00421601">
        <w:t>ory factors</w:t>
      </w:r>
      <w:r w:rsidRPr="00672ABE">
        <w:t>.</w:t>
      </w:r>
      <w:r>
        <w:t xml:space="preserve"> </w:t>
      </w:r>
    </w:p>
    <w:p w14:paraId="79D76E65" w14:textId="77777777" w:rsidR="00CA45BC" w:rsidRDefault="00CA45BC" w:rsidP="005001CE">
      <w:pPr>
        <w:pStyle w:val="Head2"/>
        <w:rPr>
          <w:rStyle w:val="Label"/>
          <w:bCs/>
          <w14:ligatures w14:val="standard"/>
        </w:rPr>
        <w:sectPr w:rsidR="00CA45BC" w:rsidSect="00CA45BC">
          <w:endnotePr>
            <w:numFmt w:val="decimal"/>
          </w:endnotePr>
          <w:type w:val="continuous"/>
          <w:pgSz w:w="12240" w:h="15840" w:code="9"/>
          <w:pgMar w:top="1500" w:right="1080" w:bottom="1600" w:left="1080" w:header="1080" w:footer="1080" w:gutter="0"/>
          <w:pgNumType w:start="1"/>
          <w:cols w:space="480"/>
          <w:titlePg/>
          <w:docGrid w:linePitch="360"/>
        </w:sectPr>
      </w:pPr>
    </w:p>
    <w:p w14:paraId="5FA288C5" w14:textId="77777777" w:rsidR="00672ABE" w:rsidRDefault="00672ABE" w:rsidP="005001CE">
      <w:pPr>
        <w:pStyle w:val="Head2"/>
        <w:rPr>
          <w:rStyle w:val="Label"/>
          <w:bCs/>
          <w14:ligatures w14:val="standard"/>
        </w:rPr>
      </w:pPr>
      <w:r w:rsidRPr="00672ABE">
        <w:rPr>
          <w:rStyle w:val="Label"/>
          <w:bCs/>
          <w14:ligatures w14:val="standard"/>
        </w:rPr>
        <w:t>Modulators of Gaze Cueing</w:t>
      </w:r>
    </w:p>
    <w:p w14:paraId="3A3EF5CC" w14:textId="77777777" w:rsidR="00CA45BC" w:rsidRDefault="00CA45BC" w:rsidP="002F43F2">
      <w:pPr>
        <w:pStyle w:val="Para"/>
        <w:sectPr w:rsidR="00CA45BC" w:rsidSect="00CA45BC">
          <w:endnotePr>
            <w:numFmt w:val="decimal"/>
          </w:endnotePr>
          <w:type w:val="continuous"/>
          <w:pgSz w:w="12240" w:h="15840" w:code="9"/>
          <w:pgMar w:top="1500" w:right="1080" w:bottom="1600" w:left="1080" w:header="1080" w:footer="1080" w:gutter="0"/>
          <w:pgNumType w:start="1"/>
          <w:cols w:space="480"/>
          <w:titlePg/>
          <w:docGrid w:linePitch="360"/>
        </w:sectPr>
      </w:pPr>
    </w:p>
    <w:p w14:paraId="7965E4A0" w14:textId="05333ED7" w:rsidR="00672ABE" w:rsidRPr="00672ABE" w:rsidRDefault="00672ABE" w:rsidP="002F43F2">
      <w:pPr>
        <w:pStyle w:val="Para"/>
      </w:pPr>
      <w:r w:rsidRPr="00672ABE">
        <w:t xml:space="preserve">Modulators of the GCE are highly researched and can be generally grouped into three broad categories: (1) physical characteristics of the cueing agent, (2) internal states of the observer, and (3) interactions between these factors </w:t>
      </w:r>
      <w:r w:rsidR="00421601">
        <w:fldChar w:fldCharType="begin"/>
      </w:r>
      <w:r w:rsidR="001B5057">
        <w:instrText xml:space="preserve"> ADDIN ZOTERO_ITEM CSL_CITATION {"citationID":"1OLpbIJw","properties":{"formattedCitation":"[12]","plainCitation":"[12]","noteIndex":0},"citationItems":[{"id":96,"uris":["http://zotero.org/users/15023090/items/2RCZF2C2"],"itemData":{"id":96,"type":"article-journal","container-title":"Psychonomic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fldChar w:fldCharType="separate"/>
      </w:r>
      <w:r w:rsidR="00B117D9">
        <w:rPr>
          <w:rFonts w:cs="Linux Libertine"/>
        </w:rPr>
        <w:t>(Dalmaso et al., 2020)</w:t>
      </w:r>
      <w:r w:rsidR="00421601">
        <w:fldChar w:fldCharType="end"/>
      </w:r>
      <w:r w:rsidRPr="00672ABE">
        <w:t>.</w:t>
      </w:r>
    </w:p>
    <w:p w14:paraId="5500C004" w14:textId="4DB17C65" w:rsidR="00672ABE" w:rsidRPr="00672ABE" w:rsidRDefault="00672ABE" w:rsidP="002F43F2">
      <w:pPr>
        <w:pStyle w:val="Para"/>
      </w:pPr>
      <w:r w:rsidRPr="00672ABE">
        <w:t>Physical characteristics of the cueing face include features such as facial expression, dominance, gender</w:t>
      </w:r>
      <w:r w:rsidR="00421601">
        <w:t xml:space="preserve"> or sense of </w:t>
      </w:r>
      <w:r w:rsidRPr="00672ABE">
        <w:t xml:space="preserve">social status. A substantial body of research supports </w:t>
      </w:r>
      <w:r w:rsidR="00421601">
        <w:t>the idea that those characteristics can influence GCE</w:t>
      </w:r>
      <w:r w:rsidRPr="00672ABE">
        <w:t xml:space="preserve">, demonstrating, for instance, that individuals exhibit stronger GCEs when viewing high-status faces </w:t>
      </w:r>
      <w:r w:rsidR="00B117D9" w:rsidRPr="00672ABE">
        <w:t>(Dalmaso et al., 2012)</w:t>
      </w:r>
      <w:r w:rsidRPr="00672ABE">
        <w:t>, more dominant</w:t>
      </w:r>
      <w:r w:rsidR="00185CD9">
        <w:t xml:space="preserve"> faces</w:t>
      </w:r>
      <w:r w:rsidRPr="00672ABE">
        <w:t xml:space="preserve"> </w:t>
      </w:r>
      <w:r w:rsidR="00B117D9" w:rsidRPr="00672ABE">
        <w:t>(Jones et al., 2010; Ohlsen et al., 2013)</w:t>
      </w:r>
      <w:r w:rsidRPr="00672ABE">
        <w:t xml:space="preserve"> or familiar faces </w:t>
      </w:r>
      <w:r w:rsidR="00185CD9">
        <w:t>that participants</w:t>
      </w:r>
      <w:r w:rsidRPr="00672ABE">
        <w:t xml:space="preserve"> have previously engaged in joint attention </w:t>
      </w:r>
      <w:r w:rsidR="00B117D9" w:rsidRPr="00672ABE">
        <w:t xml:space="preserve">(Deaner et al., 2007; </w:t>
      </w:r>
      <w:proofErr w:type="spellStart"/>
      <w:r w:rsidR="00B117D9" w:rsidRPr="00672ABE">
        <w:t>Frischen</w:t>
      </w:r>
      <w:proofErr w:type="spellEnd"/>
      <w:r w:rsidR="00B117D9" w:rsidRPr="00672ABE">
        <w:t xml:space="preserve"> &amp; Tipper, 2006)</w:t>
      </w:r>
      <w:r w:rsidRPr="00672ABE">
        <w:t>.</w:t>
      </w:r>
    </w:p>
    <w:p w14:paraId="18D336E4" w14:textId="1252B749" w:rsidR="00672ABE" w:rsidRPr="00672ABE" w:rsidRDefault="00672ABE" w:rsidP="002F43F2">
      <w:pPr>
        <w:pStyle w:val="Para"/>
      </w:pPr>
      <w:r w:rsidRPr="00672ABE">
        <w:t xml:space="preserve">Emotional expressions </w:t>
      </w:r>
      <w:r w:rsidR="00185CD9">
        <w:t>have</w:t>
      </w:r>
      <w:r w:rsidRPr="00672ABE">
        <w:t xml:space="preserve"> also </w:t>
      </w:r>
      <w:r w:rsidR="00185CD9">
        <w:t xml:space="preserve">been </w:t>
      </w:r>
      <w:r w:rsidRPr="00672ABE">
        <w:t xml:space="preserve">considered as modulators of </w:t>
      </w:r>
      <w:r w:rsidR="00185CD9">
        <w:t>GC</w:t>
      </w:r>
      <w:r w:rsidRPr="00672ABE">
        <w:t xml:space="preserve">, especially under specific conditions. For instance, a greater GCE is induced by happy faces of female actors </w:t>
      </w:r>
      <w:r w:rsidR="00B117D9" w:rsidRPr="00672ABE">
        <w:t>(Hori et al., 2005)</w:t>
      </w:r>
      <w:r w:rsidRPr="00672ABE">
        <w:t xml:space="preserve">; or faces that previously smiled to the participants (only in low Autism-Spectrum Quotient individuals) </w:t>
      </w:r>
      <w:r w:rsidR="00B117D9" w:rsidRPr="00672ABE">
        <w:t>(Hudson et al., 2012)</w:t>
      </w:r>
      <w:r w:rsidRPr="00672ABE">
        <w:t xml:space="preserve">; Greater GCE is also shown for angry faces, but only when participants were under high cognitive load </w:t>
      </w:r>
      <w:r w:rsidR="00B117D9" w:rsidRPr="00672ABE">
        <w:t>(</w:t>
      </w:r>
      <w:proofErr w:type="spellStart"/>
      <w:r w:rsidR="00B117D9" w:rsidRPr="00672ABE">
        <w:t>Pecchinenda</w:t>
      </w:r>
      <w:proofErr w:type="spellEnd"/>
      <w:r w:rsidR="00B117D9" w:rsidRPr="00672ABE">
        <w:t xml:space="preserve"> &amp; Petrucci, 2016)</w:t>
      </w:r>
      <w:r w:rsidRPr="00672ABE">
        <w:t xml:space="preserve">; or for happy and fearful faces after oxytocin administration </w:t>
      </w:r>
      <w:r w:rsidR="00B117D9" w:rsidRPr="00672ABE">
        <w:t>(Tollenaar et al., 2013)</w:t>
      </w:r>
      <w:r w:rsidRPr="00672ABE">
        <w:t>.</w:t>
      </w:r>
    </w:p>
    <w:p w14:paraId="6B55E487" w14:textId="77777777" w:rsidR="00B117D9" w:rsidRPr="00672ABE" w:rsidRDefault="00185CD9" w:rsidP="00B117D9">
      <w:pPr>
        <w:pStyle w:val="Para"/>
      </w:pPr>
      <w:r>
        <w:t>The i</w:t>
      </w:r>
      <w:r w:rsidR="00672ABE" w:rsidRPr="00672ABE">
        <w:t xml:space="preserve">nternal differences of the observer </w:t>
      </w:r>
      <w:r>
        <w:t xml:space="preserve">are thought to be another cluster of factors that have their role </w:t>
      </w:r>
      <w:r w:rsidR="00672ABE" w:rsidRPr="00672ABE">
        <w:t>as modulatory factors. Traits such as elevated anxiety</w:t>
      </w:r>
      <w:r>
        <w:t xml:space="preserve"> </w:t>
      </w:r>
      <w:r w:rsidR="00B117D9" w:rsidRPr="00672ABE">
        <w:t>(Lassalle &amp; Itier, 2015; Mathews et al., 2003)</w:t>
      </w:r>
      <w:r w:rsidR="00672ABE" w:rsidRPr="00672ABE">
        <w:t xml:space="preserve">, higher levels of fear </w:t>
      </w:r>
      <w:r w:rsidR="00B117D9" w:rsidRPr="00672ABE">
        <w:t>(Tipples, 2006), or phobias combined with anxiousness (</w:t>
      </w:r>
      <w:proofErr w:type="spellStart"/>
      <w:r w:rsidR="00B117D9" w:rsidRPr="00672ABE">
        <w:t>Pletti</w:t>
      </w:r>
      <w:proofErr w:type="spellEnd"/>
      <w:r w:rsidR="00B117D9" w:rsidRPr="00672ABE">
        <w:t xml:space="preserve"> et al., 2015) have been linked to stronger GCEs, as have low self-esteem and heightened social needs (Wu et al., 2014). Personality traits also interact with emotional expression: introverts respond more strongly to neutral and happy faces, while extraverts are more sensitive to angry ones (</w:t>
      </w:r>
      <w:proofErr w:type="spellStart"/>
      <w:r w:rsidR="00B117D9" w:rsidRPr="00672ABE">
        <w:t>Ponari</w:t>
      </w:r>
      <w:proofErr w:type="spellEnd"/>
      <w:r w:rsidR="00B117D9" w:rsidRPr="00672ABE">
        <w:t xml:space="preserve"> et al., 2013). Gender may play a role as well, with stronger GCEs reported in females than males (Bayliss et al., 2005).  </w:t>
      </w:r>
    </w:p>
    <w:p w14:paraId="29AF0C84" w14:textId="1D4D06B0" w:rsidR="00672ABE" w:rsidRPr="00672ABE" w:rsidRDefault="00B117D9" w:rsidP="00B117D9">
      <w:pPr>
        <w:pStyle w:val="Para"/>
      </w:pPr>
      <w:r w:rsidRPr="00672ABE">
        <w:t>Beyond stable traits, transient internal states such as social acceptance or rejection (Wilkowski et al., 2009), or primed feelings of power (Cui et al., 2014), have been shown to modulate the GCE—highlighting its sensitivity to both enduring and momentary internal conditions. Interestingly, political temperament also appears to influence gaze cueing, with liberals showing more robust effects than conservatives (Carraro et al., 2015)</w:t>
      </w:r>
      <w:r w:rsidR="00672ABE" w:rsidRPr="00672ABE">
        <w:t xml:space="preserve">. </w:t>
      </w:r>
    </w:p>
    <w:p w14:paraId="3B7FDDE0" w14:textId="77777777" w:rsidR="00672ABE" w:rsidRPr="00672ABE" w:rsidRDefault="00672ABE" w:rsidP="002F43F2">
      <w:pPr>
        <w:pStyle w:val="Para"/>
      </w:pPr>
      <w:r w:rsidRPr="00672ABE">
        <w:t xml:space="preserve">As the reviewed studies illustrate, the gaze cueing effect (GCE) is rarely shaped by a single, isolated factor. Rather, it often results </w:t>
      </w:r>
      <w:r w:rsidR="006078F7">
        <w:t>of a</w:t>
      </w:r>
      <w:r w:rsidRPr="00672ABE">
        <w:t xml:space="preserve"> </w:t>
      </w:r>
      <w:r w:rsidR="006078F7" w:rsidRPr="00672ABE">
        <w:t>dynamic</w:t>
      </w:r>
      <w:r w:rsidR="006078F7">
        <w:t xml:space="preserve"> </w:t>
      </w:r>
      <w:r w:rsidR="006078F7" w:rsidRPr="00672ABE">
        <w:t>interaction</w:t>
      </w:r>
      <w:r w:rsidRPr="00672ABE">
        <w:t xml:space="preserve"> between </w:t>
      </w:r>
      <w:r w:rsidR="006078F7">
        <w:t xml:space="preserve">factors from both groups – the </w:t>
      </w:r>
      <w:r w:rsidR="006078F7" w:rsidRPr="00672ABE">
        <w:t>characteristics</w:t>
      </w:r>
      <w:r w:rsidRPr="00672ABE">
        <w:t xml:space="preserve"> of the cueing face (e.g., expression, status, trustworthiness) and </w:t>
      </w:r>
      <w:r w:rsidR="006078F7">
        <w:t xml:space="preserve">the </w:t>
      </w:r>
      <w:r w:rsidRPr="00672ABE">
        <w:t xml:space="preserve">traits of the observer (e.g., anxiety, social motivation). </w:t>
      </w:r>
      <w:r w:rsidR="006078F7">
        <w:t xml:space="preserve">The </w:t>
      </w:r>
      <w:r w:rsidRPr="00672ABE">
        <w:t>interaction effects</w:t>
      </w:r>
      <w:r w:rsidR="006078F7">
        <w:t xml:space="preserve"> </w:t>
      </w:r>
      <w:r w:rsidRPr="00672ABE">
        <w:t>reflect how individual and social factors combine in shaping attentional responses</w:t>
      </w:r>
      <w:r w:rsidR="006078F7">
        <w:t xml:space="preserve"> –</w:t>
      </w:r>
      <w:r w:rsidRPr="00672ABE">
        <w:t xml:space="preserve"> suggest</w:t>
      </w:r>
      <w:r w:rsidR="006078F7">
        <w:t>ing</w:t>
      </w:r>
      <w:r w:rsidRPr="00672ABE">
        <w:t xml:space="preserve"> that gaze cueing is not merely a reflexive shift of attention, but a flexible, context-sensitive process.</w:t>
      </w:r>
    </w:p>
    <w:p w14:paraId="336F9D83" w14:textId="77777777" w:rsidR="00672ABE" w:rsidRDefault="00672ABE" w:rsidP="002F43F2">
      <w:pPr>
        <w:pStyle w:val="Para"/>
      </w:pPr>
      <w:r w:rsidRPr="00672ABE">
        <w:t xml:space="preserve">Despite </w:t>
      </w:r>
      <w:r w:rsidR="006078F7">
        <w:t>the large</w:t>
      </w:r>
      <w:r w:rsidRPr="00672ABE">
        <w:t xml:space="preserve"> body of research, one internal state remains notably underexplored in the gaze cueing literature: the sense of agency (</w:t>
      </w:r>
      <w:proofErr w:type="spellStart"/>
      <w:r w:rsidRPr="00672ABE">
        <w:t>SoA</w:t>
      </w:r>
      <w:proofErr w:type="spellEnd"/>
      <w:r w:rsidRPr="00672ABE">
        <w:t>). While prior work has largely emphasized stable personality traits, much less is known about how transient, moment-to-moment cognitive states—such as the subjective experience of control over</w:t>
      </w:r>
      <w:r w:rsidR="006078F7">
        <w:t xml:space="preserve"> one’s own</w:t>
      </w:r>
      <w:r w:rsidRPr="00672ABE">
        <w:t xml:space="preserve"> actions—might modulate social attention. Investigating </w:t>
      </w:r>
      <w:proofErr w:type="spellStart"/>
      <w:r w:rsidRPr="00672ABE">
        <w:t>SoA</w:t>
      </w:r>
      <w:proofErr w:type="spellEnd"/>
      <w:r w:rsidRPr="00672ABE">
        <w:t xml:space="preserve"> thus represents a valuable opportunity to deepen our understanding of how volitional control dynamically interacts with mechanisms of gaze-based attentional orienting and non-verbal communication.</w:t>
      </w:r>
    </w:p>
    <w:p w14:paraId="5BFA7AD6" w14:textId="77777777" w:rsidR="00672ABE" w:rsidRPr="00672ABE" w:rsidRDefault="00672ABE" w:rsidP="005001CE">
      <w:pPr>
        <w:pStyle w:val="Head2"/>
      </w:pPr>
      <w:r w:rsidRPr="00672ABE">
        <w:t>The Sense of Agency</w:t>
      </w:r>
    </w:p>
    <w:p w14:paraId="33475230" w14:textId="2BA4FA67" w:rsidR="00672ABE" w:rsidRPr="00672ABE" w:rsidRDefault="00672ABE" w:rsidP="002F43F2">
      <w:pPr>
        <w:pStyle w:val="Para"/>
      </w:pPr>
      <w:r w:rsidRPr="00672ABE">
        <w:t>The sense of agency (</w:t>
      </w:r>
      <w:proofErr w:type="spellStart"/>
      <w:r w:rsidRPr="00672ABE">
        <w:t>SoA</w:t>
      </w:r>
      <w:proofErr w:type="spellEnd"/>
      <w:r w:rsidRPr="00672ABE">
        <w:t xml:space="preserve">) can be defined as the pre-reflective feeling of being the agent of one’s own actions </w:t>
      </w:r>
      <w:r w:rsidR="007A5002" w:rsidRPr="007A5002">
        <w:t>(Gallagher, 2000)</w:t>
      </w:r>
      <w:r w:rsidRPr="00672ABE">
        <w:t xml:space="preserve">, and the experience of controlling them and, through them, controlling events in the external world </w:t>
      </w:r>
      <w:r w:rsidR="007A5002" w:rsidRPr="007A5002">
        <w:t>(Haggard &amp; Tsakiris, 2009)</w:t>
      </w:r>
      <w:r w:rsidRPr="00672ABE">
        <w:t xml:space="preserve">. In other words, it is the feeling that "I am the one who is </w:t>
      </w:r>
      <w:r w:rsidR="00223CC6">
        <w:t>performing the action</w:t>
      </w:r>
      <w:r w:rsidR="005351A0">
        <w:t xml:space="preserve">, hence I’m the one </w:t>
      </w:r>
      <w:r w:rsidRPr="00672ABE">
        <w:t xml:space="preserve">causing </w:t>
      </w:r>
      <w:r w:rsidR="005351A0">
        <w:t xml:space="preserve">the </w:t>
      </w:r>
      <w:r w:rsidRPr="00672ABE">
        <w:t xml:space="preserve">effect." </w:t>
      </w:r>
      <w:proofErr w:type="spellStart"/>
      <w:r w:rsidRPr="00672ABE">
        <w:t>SoA</w:t>
      </w:r>
      <w:proofErr w:type="spellEnd"/>
      <w:r w:rsidRPr="00672ABE">
        <w:t xml:space="preserve"> is fundamental to motor control, self-awareness, and social interaction, where recognizing one’s own contributions is essential for coordinating joint actions </w:t>
      </w:r>
      <w:r w:rsidR="007A5002" w:rsidRPr="007A5002">
        <w:t>(Gallagher, 2000)</w:t>
      </w:r>
      <w:r w:rsidRPr="00672ABE">
        <w:t xml:space="preserve">. </w:t>
      </w:r>
      <w:r w:rsidR="007A5002" w:rsidRPr="007A5002">
        <w:t>As discussed in Agency and Joint Attention (Metcalfe &amp; Terrace, 2013)</w:t>
      </w:r>
      <w:r w:rsidRPr="00672ABE">
        <w:t xml:space="preserve">, </w:t>
      </w:r>
      <w:proofErr w:type="spellStart"/>
      <w:r w:rsidRPr="00672ABE">
        <w:t>SoA</w:t>
      </w:r>
      <w:proofErr w:type="spellEnd"/>
      <w:r w:rsidRPr="00672ABE">
        <w:t xml:space="preserve"> also supports the development of joint attention, a critical capacity for aligning visual focus and inferring others’ intentions (e.g., theory of mind - </w:t>
      </w:r>
      <w:proofErr w:type="spellStart"/>
      <w:r w:rsidRPr="00672ABE">
        <w:t>ToM</w:t>
      </w:r>
      <w:proofErr w:type="spellEnd"/>
      <w:r w:rsidRPr="00672ABE">
        <w:t>).</w:t>
      </w:r>
    </w:p>
    <w:p w14:paraId="5228CB3C" w14:textId="628CA612" w:rsidR="00672ABE" w:rsidRPr="00672ABE" w:rsidRDefault="00672ABE" w:rsidP="002F43F2">
      <w:pPr>
        <w:pStyle w:val="Para"/>
      </w:pPr>
      <w:r w:rsidRPr="00672ABE">
        <w:t xml:space="preserve">Several theoretical frameworks have been proposed to explain how </w:t>
      </w:r>
      <w:proofErr w:type="spellStart"/>
      <w:r w:rsidRPr="00672ABE">
        <w:t>SoA</w:t>
      </w:r>
      <w:proofErr w:type="spellEnd"/>
      <w:r w:rsidRPr="00672ABE">
        <w:t xml:space="preserve"> arises. Predictive coding models suggest that agency stems from the match between predicted and actual sensory outcomes </w:t>
      </w:r>
      <w:r w:rsidR="007A5002" w:rsidRPr="007A5002">
        <w:t xml:space="preserve">(Friston, 2012; Wolpert &amp; </w:t>
      </w:r>
      <w:proofErr w:type="spellStart"/>
      <w:r w:rsidR="007A5002" w:rsidRPr="007A5002">
        <w:t>Kawato</w:t>
      </w:r>
      <w:proofErr w:type="spellEnd"/>
      <w:r w:rsidR="007A5002" w:rsidRPr="007A5002">
        <w:t>, 1998)</w:t>
      </w:r>
      <w:r w:rsidRPr="00672ABE">
        <w:t>. Cue integration models propose that internal motor signals and external cues are combined</w:t>
      </w:r>
      <w:r w:rsidR="005351A0">
        <w:t xml:space="preserve"> and taken into account for the</w:t>
      </w:r>
      <w:r w:rsidRPr="00672ABE">
        <w:t xml:space="preserve"> final judgment of agency </w:t>
      </w:r>
      <w:r w:rsidR="007A5002" w:rsidRPr="007A5002">
        <w:t>(</w:t>
      </w:r>
      <w:proofErr w:type="spellStart"/>
      <w:r w:rsidR="007A5002" w:rsidRPr="007A5002">
        <w:t>Pacherie</w:t>
      </w:r>
      <w:proofErr w:type="spellEnd"/>
      <w:r w:rsidR="007A5002" w:rsidRPr="007A5002">
        <w:t>, 2013, in Metcalfe &amp; Terrace, 2013)</w:t>
      </w:r>
      <w:r w:rsidRPr="00672ABE">
        <w:t>. Retrospective inference models</w:t>
      </w:r>
      <w:r w:rsidR="00A61A87">
        <w:t>, in their turn,</w:t>
      </w:r>
      <w:r w:rsidRPr="00672ABE">
        <w:t xml:space="preserve"> argue that agency can also be inferred after the fact, based on contextual and temporal information</w:t>
      </w:r>
      <w:r w:rsidR="005351A0">
        <w:t xml:space="preserve"> </w:t>
      </w:r>
      <w:r w:rsidR="007A5002" w:rsidRPr="007A5002">
        <w:t>(Wegner, 2004)</w:t>
      </w:r>
      <w:r w:rsidRPr="00672ABE">
        <w:t xml:space="preserve">. Despite their differences, </w:t>
      </w:r>
      <w:r w:rsidR="005351A0">
        <w:t>all three</w:t>
      </w:r>
      <w:r w:rsidRPr="00672ABE">
        <w:t xml:space="preserve"> models converge on a central claim: congruency</w:t>
      </w:r>
      <w:r w:rsidR="00E22D7D">
        <w:t>/consistency</w:t>
      </w:r>
      <w:r w:rsidRPr="00672ABE">
        <w:t xml:space="preserve"> between intended actions and observed outcomes enhances the experience of agency </w:t>
      </w:r>
      <w:r w:rsidR="007A5002" w:rsidRPr="007A5002">
        <w:t>(Metcalfe &amp; Terrace, 2013)</w:t>
      </w:r>
      <w:r w:rsidRPr="00672ABE">
        <w:t>.</w:t>
      </w:r>
    </w:p>
    <w:p w14:paraId="0209A7CC" w14:textId="65B7ACEC" w:rsidR="00672ABE" w:rsidRPr="00672ABE" w:rsidRDefault="00672ABE" w:rsidP="002F43F2">
      <w:pPr>
        <w:pStyle w:val="Para"/>
      </w:pPr>
      <w:r w:rsidRPr="00672ABE">
        <w:t xml:space="preserve">Importantly, recent research shows that </w:t>
      </w:r>
      <w:proofErr w:type="spellStart"/>
      <w:r w:rsidRPr="00672ABE">
        <w:t>SoA</w:t>
      </w:r>
      <w:proofErr w:type="spellEnd"/>
      <w:r w:rsidRPr="00672ABE">
        <w:t xml:space="preserve"> is not limited to motor actions like button presses. For instance, </w:t>
      </w:r>
      <w:r w:rsidR="00DA4C47">
        <w:fldChar w:fldCharType="begin"/>
      </w:r>
      <w:r w:rsidR="001B5057">
        <w:instrText xml:space="preserve"> ADDIN ZOTERO_ITEM CSL_CITATION {"citationID":"k3iCTij1","properties":{"formattedCitation":"[38]","plainCitation":"[38]","noteIndex":0},"citationItems":[{"id":226,"uris":["http://zotero.org/users/15023090/items/SMJZ52ZJ"],"itemData":{"id":226,"type":"article-journal","container-title":"Acta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schema":"https://github.com/citation-style-language/schema/raw/master/csl-citation.json"} </w:instrText>
      </w:r>
      <w:r w:rsidR="00DA4C47">
        <w:fldChar w:fldCharType="separate"/>
      </w:r>
      <w:r w:rsidR="001C2AAA">
        <w:rPr>
          <w:rFonts w:cs="Linux Libertine"/>
        </w:rPr>
        <w:t xml:space="preserve">Gutzeit et al. </w:t>
      </w:r>
      <w:r w:rsidR="007A5002">
        <w:rPr>
          <w:rFonts w:cs="Linux Libertine"/>
        </w:rPr>
        <w:t>(</w:t>
      </w:r>
      <w:r w:rsidR="001C2AAA">
        <w:rPr>
          <w:rFonts w:cs="Linux Libertine"/>
        </w:rPr>
        <w:t>2024)</w:t>
      </w:r>
      <w:r w:rsidR="00DA4C47">
        <w:fldChar w:fldCharType="end"/>
      </w:r>
      <w:r w:rsidR="007A5002">
        <w:t xml:space="preserve"> </w:t>
      </w:r>
      <w:r w:rsidRPr="00672ABE">
        <w:t xml:space="preserve">demonstrated that people can experience agency over eye movements, particularly when gaze behavior leads to predictable outcomes such as color changes. Their study revealed that gaze–outcome contingency increased both explicit agency ratings and </w:t>
      </w:r>
      <w:r w:rsidR="00DA4C47">
        <w:t xml:space="preserve">implicit </w:t>
      </w:r>
      <w:r w:rsidR="00DA4C47" w:rsidRPr="00672ABE">
        <w:t xml:space="preserve">ratings </w:t>
      </w:r>
      <w:r w:rsidR="00DA4C47">
        <w:t xml:space="preserve">(measured by </w:t>
      </w:r>
      <w:r w:rsidRPr="00672ABE">
        <w:t>temporal binding effects</w:t>
      </w:r>
      <w:r w:rsidR="00DA4C47">
        <w:t>)</w:t>
      </w:r>
      <w:r w:rsidRPr="00672ABE">
        <w:t xml:space="preserve">, </w:t>
      </w:r>
      <w:r w:rsidR="00DA4C47">
        <w:t xml:space="preserve">extending the research of </w:t>
      </w:r>
      <w:proofErr w:type="spellStart"/>
      <w:r w:rsidR="00DA4C47">
        <w:t>SoA</w:t>
      </w:r>
      <w:proofErr w:type="spellEnd"/>
      <w:r w:rsidR="00DA4C47">
        <w:t xml:space="preserve"> to the </w:t>
      </w:r>
      <w:r w:rsidRPr="00672ABE">
        <w:t>oculomotor domain.</w:t>
      </w:r>
    </w:p>
    <w:p w14:paraId="4776FF45" w14:textId="4CAD8390" w:rsidR="00672ABE" w:rsidRPr="00672ABE" w:rsidRDefault="00672ABE" w:rsidP="002F43F2">
      <w:pPr>
        <w:pStyle w:val="Para"/>
      </w:pPr>
      <w:r w:rsidRPr="00672ABE">
        <w:lastRenderedPageBreak/>
        <w:t xml:space="preserve">Other studies highlight the social </w:t>
      </w:r>
      <w:r w:rsidR="00DA4C47">
        <w:t>nature</w:t>
      </w:r>
      <w:r w:rsidRPr="00672ABE">
        <w:t xml:space="preserve"> of agency.</w:t>
      </w:r>
      <w:r w:rsidR="00953173">
        <w:t xml:space="preserve"> </w:t>
      </w:r>
      <w:r w:rsidR="007A5002" w:rsidRPr="007A5002">
        <w:t>Ulloa et al. (2019)</w:t>
      </w:r>
      <w:r w:rsidR="00DA4C47">
        <w:t xml:space="preserve"> </w:t>
      </w:r>
      <w:r w:rsidRPr="00672ABE">
        <w:t xml:space="preserve">found that mutual gaze enhances perceived agency in social contexts. Participants felt more in control of outcomes when their gaze was met by another’s, suggesting that social cues like eye contact modulate </w:t>
      </w:r>
      <w:proofErr w:type="spellStart"/>
      <w:r w:rsidRPr="00672ABE">
        <w:t>SoA</w:t>
      </w:r>
      <w:proofErr w:type="spellEnd"/>
      <w:r w:rsidRPr="00672ABE">
        <w:t xml:space="preserve">—a finding that </w:t>
      </w:r>
      <w:r w:rsidR="00DA4C47" w:rsidRPr="00672ABE">
        <w:t>underlines</w:t>
      </w:r>
      <w:r w:rsidRPr="00672ABE">
        <w:t xml:space="preserve"> the role of interpersonal feedback in agency judgments.</w:t>
      </w:r>
    </w:p>
    <w:p w14:paraId="3B2BE2D2" w14:textId="6340C121" w:rsidR="00672ABE" w:rsidRPr="00672ABE" w:rsidRDefault="00672ABE" w:rsidP="002F43F2">
      <w:pPr>
        <w:pStyle w:val="Para"/>
      </w:pPr>
      <w:r w:rsidRPr="00672ABE">
        <w:t xml:space="preserve">Together, these results position </w:t>
      </w:r>
      <w:proofErr w:type="spellStart"/>
      <w:r w:rsidRPr="00672ABE">
        <w:t>SoA</w:t>
      </w:r>
      <w:proofErr w:type="spellEnd"/>
      <w:r w:rsidRPr="00672ABE">
        <w:t xml:space="preserve"> as multimodal, context-sensitive, and deeply social</w:t>
      </w:r>
      <w:r w:rsidR="00E11243">
        <w:t xml:space="preserve"> state</w:t>
      </w:r>
      <w:r w:rsidRPr="00672ABE">
        <w:t xml:space="preserve">, extending </w:t>
      </w:r>
      <w:r w:rsidR="00861985">
        <w:t xml:space="preserve">action control </w:t>
      </w:r>
      <w:r w:rsidR="00C52939">
        <w:t>from mere</w:t>
      </w:r>
      <w:r w:rsidR="00C52939" w:rsidRPr="00672ABE">
        <w:t xml:space="preserve"> </w:t>
      </w:r>
      <w:r w:rsidRPr="00672ABE">
        <w:t>physical action into attentional and communicative domains.</w:t>
      </w:r>
    </w:p>
    <w:p w14:paraId="1DA95A39" w14:textId="77777777" w:rsidR="00672ABE" w:rsidRPr="00672ABE" w:rsidRDefault="00672ABE" w:rsidP="005001CE">
      <w:pPr>
        <w:pStyle w:val="Head2"/>
        <w:rPr>
          <w:rStyle w:val="meta-value"/>
        </w:rPr>
      </w:pPr>
      <w:r w:rsidRPr="00672ABE">
        <w:rPr>
          <w:rStyle w:val="meta-value"/>
        </w:rPr>
        <w:t>Agency’s Influence on Perception and Attention</w:t>
      </w:r>
    </w:p>
    <w:p w14:paraId="04F6FE93" w14:textId="0EA1AD80" w:rsidR="00672ABE" w:rsidRPr="00672ABE" w:rsidRDefault="00672ABE" w:rsidP="002F43F2">
      <w:pPr>
        <w:pStyle w:val="Para"/>
      </w:pPr>
      <w:r w:rsidRPr="00672ABE">
        <w:t xml:space="preserve">A growing body of evidence shows that </w:t>
      </w:r>
      <w:proofErr w:type="spellStart"/>
      <w:r w:rsidRPr="00672ABE">
        <w:t>SoA</w:t>
      </w:r>
      <w:proofErr w:type="spellEnd"/>
      <w:r w:rsidRPr="00672ABE">
        <w:t xml:space="preserve"> affects not only how actions are experienced, but also how sensory and attentional processes unfold. For example, the intentional binding effect—a compression in perceived time between an action and its effect—is a widely used implicit measure of agency </w:t>
      </w:r>
      <w:r w:rsidR="007A5002" w:rsidRPr="007A5002">
        <w:t>(Haggard et al., 2002)</w:t>
      </w:r>
      <w:r w:rsidRPr="00672ABE">
        <w:t xml:space="preserve">. Likewise, sensory attenuation refers to the phenomenon where self-generated stimuli (e.g., sounds, touches) are perceived as less intense, presumably due to predictive down-weighting </w:t>
      </w:r>
      <w:r w:rsidR="007A5002" w:rsidRPr="007A5002">
        <w:t>(Blakemore et al., 1998; Shergill et al., 2003)</w:t>
      </w:r>
      <w:r w:rsidRPr="00672ABE">
        <w:t>.</w:t>
      </w:r>
    </w:p>
    <w:p w14:paraId="1290F3EB" w14:textId="45015B54" w:rsidR="00724D41" w:rsidRDefault="00672ABE" w:rsidP="002F43F2">
      <w:pPr>
        <w:pStyle w:val="Para"/>
      </w:pPr>
      <w:proofErr w:type="spellStart"/>
      <w:r w:rsidRPr="00672ABE">
        <w:t>SoA</w:t>
      </w:r>
      <w:proofErr w:type="spellEnd"/>
      <w:r w:rsidRPr="00672ABE">
        <w:t xml:space="preserve"> also influences higher-level attention and perceptual salience.</w:t>
      </w:r>
      <w:r w:rsidR="00724D41" w:rsidRPr="00724D41">
        <w:t xml:space="preserve"> </w:t>
      </w:r>
      <w:r w:rsidR="00724D41">
        <w:t xml:space="preserve">As summarized by Wen and </w:t>
      </w:r>
      <w:proofErr w:type="spellStart"/>
      <w:r w:rsidR="00724D41">
        <w:t>Imamizu</w:t>
      </w:r>
      <w:proofErr w:type="spellEnd"/>
      <w:r w:rsidR="00724D41">
        <w:t xml:space="preserve"> (2022)</w:t>
      </w:r>
      <w:r w:rsidR="000332B5">
        <w:t>,</w:t>
      </w:r>
      <w:r w:rsidR="00724D41">
        <w:t xml:space="preserve"> w</w:t>
      </w:r>
      <w:r w:rsidR="00724D41" w:rsidRPr="00724D41">
        <w:t>hen individuals believe they control an object or event, their attention tends to be drawn more strongly to it, even when they are not instructed to look there</w:t>
      </w:r>
      <w:r w:rsidR="000332B5">
        <w:t>.</w:t>
      </w:r>
      <w:r w:rsidR="00724D41">
        <w:t xml:space="preserve"> </w:t>
      </w:r>
      <w:r w:rsidR="000332B5">
        <w:t xml:space="preserve">This effect elevates with higher levels of </w:t>
      </w:r>
      <w:r w:rsidR="000332B5" w:rsidRPr="00672ABE">
        <w:t>action–outcome congruency</w:t>
      </w:r>
      <w:r w:rsidR="002B19AD">
        <w:t xml:space="preserve">/consistency </w:t>
      </w:r>
      <w:r w:rsidR="005F155F" w:rsidRPr="00672ABE">
        <w:t>(Cui et al., 2014)</w:t>
      </w:r>
      <w:r w:rsidR="000332B5" w:rsidRPr="00724D41">
        <w:t>.</w:t>
      </w:r>
      <w:r w:rsidR="000332B5">
        <w:t xml:space="preserve"> The effect remains present in social context as well – in</w:t>
      </w:r>
      <w:r w:rsidR="00724D41" w:rsidRPr="00724D41">
        <w:t xml:space="preserve"> joint </w:t>
      </w:r>
      <w:r w:rsidR="000332B5">
        <w:t>activities</w:t>
      </w:r>
      <w:r w:rsidR="00724D41" w:rsidRPr="00724D41">
        <w:t>, the distribution of attention is also shaped by shared agency. When people feel mutually responsible for an outcome, they align their attention with that of their partner to coordinate more effectively</w:t>
      </w:r>
      <w:r w:rsidR="004C6625">
        <w:t xml:space="preserve"> </w:t>
      </w:r>
      <w:r w:rsidR="005F155F" w:rsidRPr="00672ABE">
        <w:t>(Cui et al., 2014)</w:t>
      </w:r>
      <w:r w:rsidR="00724D41" w:rsidRPr="00724D41">
        <w:t>. This mutual sense of control promotes synchronized gaze, enhances prediction of others’ behavior, and helps focus attention on task-relevant cues</w:t>
      </w:r>
      <w:r w:rsidR="005F155F">
        <w:t xml:space="preserve"> </w:t>
      </w:r>
      <w:r w:rsidR="005F155F" w:rsidRPr="007A5002">
        <w:t>(Metcalfe &amp; Terrace, 2013)</w:t>
      </w:r>
      <w:r w:rsidR="00724D41" w:rsidRPr="00724D41">
        <w:t xml:space="preserve">. Overall, </w:t>
      </w:r>
      <w:r w:rsidR="008920F8">
        <w:t>the studies</w:t>
      </w:r>
      <w:r w:rsidR="000332B5">
        <w:t xml:space="preserve"> support the notion that </w:t>
      </w:r>
      <w:proofErr w:type="spellStart"/>
      <w:r w:rsidR="00724D41" w:rsidRPr="00724D41">
        <w:t>SoA</w:t>
      </w:r>
      <w:proofErr w:type="spellEnd"/>
      <w:r w:rsidR="00724D41" w:rsidRPr="00724D41">
        <w:t xml:space="preserve"> prioritizes attention toward elements in the environment that are perceived as linked to one’s own or shared actions and goals.</w:t>
      </w:r>
      <w:r w:rsidRPr="00672ABE">
        <w:t xml:space="preserve"> </w:t>
      </w:r>
    </w:p>
    <w:p w14:paraId="5DEA3FC8" w14:textId="578EED33" w:rsidR="0013007D" w:rsidRDefault="00672ABE" w:rsidP="002F43F2">
      <w:pPr>
        <w:pStyle w:val="Para"/>
        <w:rPr>
          <w:lang w:val="bg-BG"/>
        </w:rPr>
      </w:pPr>
      <w:r w:rsidRPr="00672ABE">
        <w:t>In the social domain, agency and attention appear to interact closely. As mentioned above, Ulloa et al. (2019)</w:t>
      </w:r>
      <w:r w:rsidR="00785B9B">
        <w:t xml:space="preserve"> </w:t>
      </w:r>
      <w:r w:rsidRPr="00672ABE">
        <w:t xml:space="preserve">demonstrated that eye contact not only communicates engagement but also enhances </w:t>
      </w:r>
      <w:proofErr w:type="spellStart"/>
      <w:r w:rsidRPr="00672ABE">
        <w:t>SoA</w:t>
      </w:r>
      <w:proofErr w:type="spellEnd"/>
      <w:r w:rsidRPr="00672ABE">
        <w:t>. Meanwhile, Gutzeit et al. (2024)</w:t>
      </w:r>
      <w:r w:rsidR="005F155F">
        <w:t xml:space="preserve"> </w:t>
      </w:r>
      <w:r w:rsidRPr="00672ABE">
        <w:t xml:space="preserve">showed that even gaze-contingent effects—where simply looking in a direction causes an event—are sufficient to elicit </w:t>
      </w:r>
      <w:proofErr w:type="spellStart"/>
      <w:r w:rsidRPr="00672ABE">
        <w:t>SoA</w:t>
      </w:r>
      <w:proofErr w:type="spellEnd"/>
      <w:r w:rsidRPr="00672ABE">
        <w:t>, particularly when the action–effect relationship is perceived as contingent and predictable.</w:t>
      </w:r>
      <w:r w:rsidR="0013007D">
        <w:t xml:space="preserve"> </w:t>
      </w:r>
    </w:p>
    <w:p w14:paraId="7E9DCB72" w14:textId="77777777" w:rsidR="0013007D" w:rsidRDefault="0013007D" w:rsidP="002F43F2">
      <w:pPr>
        <w:pStyle w:val="Para"/>
      </w:pPr>
    </w:p>
    <w:p w14:paraId="0692D4EB" w14:textId="77777777" w:rsidR="0013007D" w:rsidRPr="0013007D" w:rsidRDefault="0013007D" w:rsidP="002F43F2">
      <w:pPr>
        <w:pStyle w:val="Para"/>
        <w:rPr>
          <w:lang w:val="bg-BG"/>
        </w:rPr>
      </w:pPr>
      <w:r w:rsidRPr="0013007D">
        <w:t>Considering the existing literature on both gaze cueing (GC) and the sense of agency (</w:t>
      </w:r>
      <w:proofErr w:type="spellStart"/>
      <w:r w:rsidRPr="0013007D">
        <w:t>SoA</w:t>
      </w:r>
      <w:proofErr w:type="spellEnd"/>
      <w:r w:rsidRPr="0013007D">
        <w:t xml:space="preserve">), as well as the many points of intersection between them—such as their </w:t>
      </w:r>
      <w:r w:rsidR="005F564B" w:rsidRPr="005F564B">
        <w:t>im</w:t>
      </w:r>
      <w:r w:rsidR="005F564B">
        <w:t>portance for</w:t>
      </w:r>
      <w:r w:rsidRPr="0013007D">
        <w:t xml:space="preserve"> attentional allocation, their susceptibility to social influences, and their </w:t>
      </w:r>
      <w:r w:rsidR="005F564B">
        <w:t>major role</w:t>
      </w:r>
      <w:r w:rsidRPr="0013007D">
        <w:t xml:space="preserve"> for social </w:t>
      </w:r>
      <w:r w:rsidR="005F564B">
        <w:t>cognition and functioning</w:t>
      </w:r>
      <w:r w:rsidRPr="0013007D">
        <w:t>—it is logical to ask whether there is an overlap between these two mechanisms, and if so, what its nature might be.</w:t>
      </w:r>
    </w:p>
    <w:p w14:paraId="49FF02A1" w14:textId="77777777" w:rsidR="00524B92" w:rsidRPr="00524B92" w:rsidRDefault="00524B92" w:rsidP="003F3012">
      <w:pPr>
        <w:pStyle w:val="Head1"/>
      </w:pPr>
      <w:r w:rsidRPr="00524B92">
        <w:t>Current Study</w:t>
      </w:r>
    </w:p>
    <w:p w14:paraId="5714AA5C" w14:textId="77777777" w:rsidR="00524B92" w:rsidRPr="00524B92" w:rsidRDefault="00524B92" w:rsidP="002F43F2">
      <w:pPr>
        <w:pStyle w:val="Para"/>
      </w:pPr>
      <w:r w:rsidRPr="00524B92">
        <w:t xml:space="preserve">The present experiment is </w:t>
      </w:r>
      <w:r w:rsidR="005F564B">
        <w:t xml:space="preserve">the first </w:t>
      </w:r>
      <w:r w:rsidRPr="00524B92">
        <w:t>part of a larger research program investigating how different types of actions—ranging from bodily movements to minimal oculomotor shifts—interact with attentional and social-perceptual mechanisms such as gaze cueing.</w:t>
      </w:r>
    </w:p>
    <w:p w14:paraId="4ED87D63" w14:textId="43FB5E0E" w:rsidR="00524B92" w:rsidRPr="00524B92" w:rsidRDefault="00524B92" w:rsidP="002F43F2">
      <w:pPr>
        <w:pStyle w:val="Para"/>
      </w:pPr>
      <w:r w:rsidRPr="00524B92">
        <w:t xml:space="preserve">Despite its theoretical significance and centrality to volitional behavior, the influence of the sense of agency on attentional processes—specifically gaze cueing—remains poorly understood. While prior research has shown that gaze behavior can influence </w:t>
      </w:r>
      <w:proofErr w:type="spellStart"/>
      <w:r w:rsidRPr="00524B92">
        <w:t>SoA</w:t>
      </w:r>
      <w:proofErr w:type="spellEnd"/>
      <w:r w:rsidRPr="00524B92">
        <w:t xml:space="preserve"> (e.g., mutual gaze enhancing agency; </w:t>
      </w:r>
      <w:r w:rsidR="005F155F" w:rsidRPr="00524B92">
        <w:t>Ulloa et al., 2019; Stephenson et al., 2018)</w:t>
      </w:r>
      <w:r w:rsidRPr="00524B92">
        <w:t xml:space="preserve">, the reverse relationship—whether agency modulates the perceptual and attentional impact of gaze cues—has not been directly tested. Our study addresses this gap by investigating whether </w:t>
      </w:r>
      <w:proofErr w:type="spellStart"/>
      <w:r w:rsidRPr="00524B92">
        <w:t>SoA</w:t>
      </w:r>
      <w:proofErr w:type="spellEnd"/>
      <w:r w:rsidRPr="00524B92">
        <w:t xml:space="preserve"> shapes the strength of </w:t>
      </w:r>
      <w:r w:rsidR="005F564B">
        <w:t>GCE</w:t>
      </w:r>
      <w:r w:rsidRPr="00524B92">
        <w:t>.</w:t>
      </w:r>
    </w:p>
    <w:p w14:paraId="624F235E" w14:textId="20FEFDB2" w:rsidR="00524B92" w:rsidRPr="00524B92" w:rsidRDefault="00524B92" w:rsidP="002F43F2">
      <w:pPr>
        <w:pStyle w:val="Para"/>
      </w:pPr>
      <w:r w:rsidRPr="00524B92">
        <w:t xml:space="preserve">In this experiment, we operationalize </w:t>
      </w:r>
      <w:proofErr w:type="spellStart"/>
      <w:r w:rsidRPr="00524B92">
        <w:t>SoA</w:t>
      </w:r>
      <w:proofErr w:type="spellEnd"/>
      <w:r w:rsidRPr="00524B92">
        <w:t xml:space="preserve"> through </w:t>
      </w:r>
      <w:r w:rsidR="005D3199">
        <w:t xml:space="preserve">intentional </w:t>
      </w:r>
      <w:r w:rsidR="00823279">
        <w:t>(</w:t>
      </w:r>
      <w:r w:rsidRPr="00524B92">
        <w:t>action–outcome</w:t>
      </w:r>
      <w:r w:rsidR="00823279">
        <w:t>)</w:t>
      </w:r>
      <w:r w:rsidRPr="00524B92">
        <w:t xml:space="preserve"> </w:t>
      </w:r>
      <w:r w:rsidR="0088663A">
        <w:t>consistency</w:t>
      </w:r>
      <w:r w:rsidRPr="00524B92">
        <w:t xml:space="preserve">: whether the direction of a gaze shift aligns with the participant’s </w:t>
      </w:r>
      <w:r w:rsidR="005D3199">
        <w:t>intention</w:t>
      </w:r>
      <w:r w:rsidRPr="00524B92">
        <w:t xml:space="preserve">. Participants perform a color </w:t>
      </w:r>
      <w:r w:rsidR="006E6A33">
        <w:t>discrimination</w:t>
      </w:r>
      <w:r w:rsidR="006E6A33" w:rsidRPr="00524B92">
        <w:t xml:space="preserve"> </w:t>
      </w:r>
      <w:r w:rsidRPr="00524B92">
        <w:t xml:space="preserve">task in which a synthetic face with dynamic pupil motion precedes target onset. In active trials, participants choose a </w:t>
      </w:r>
      <w:r w:rsidR="00F3402F">
        <w:t xml:space="preserve">gaze </w:t>
      </w:r>
      <w:r w:rsidRPr="00524B92">
        <w:t xml:space="preserve">direction, which then either </w:t>
      </w:r>
      <w:r w:rsidR="002F669E">
        <w:t xml:space="preserve">is </w:t>
      </w:r>
      <w:r w:rsidR="00F3402F">
        <w:t>consistent</w:t>
      </w:r>
      <w:r w:rsidRPr="00524B92">
        <w:t xml:space="preserve"> or </w:t>
      </w:r>
      <w:r w:rsidR="00F3402F">
        <w:t>inconsistent</w:t>
      </w:r>
      <w:r w:rsidRPr="00524B92">
        <w:t xml:space="preserve"> </w:t>
      </w:r>
      <w:r w:rsidR="002F669E">
        <w:t xml:space="preserve">with </w:t>
      </w:r>
      <w:r w:rsidRPr="00524B92">
        <w:t xml:space="preserve">the resulting gaze direction. In passive (control) trials, gaze direction is externally </w:t>
      </w:r>
      <w:r w:rsidR="005924BE">
        <w:t>“</w:t>
      </w:r>
      <w:r w:rsidRPr="00524B92">
        <w:t>determined</w:t>
      </w:r>
      <w:r w:rsidR="005924BE">
        <w:t>”</w:t>
      </w:r>
      <w:r w:rsidRPr="00524B92">
        <w:t xml:space="preserve"> and participants have no control over it. The gaze direction itself is either valid (target appears on the same side) or invalid (opposite side), allowing us to measure </w:t>
      </w:r>
      <w:r w:rsidR="00992773">
        <w:t>whether</w:t>
      </w:r>
      <w:r w:rsidR="00992773" w:rsidRPr="00524B92">
        <w:t xml:space="preserve"> </w:t>
      </w:r>
      <w:r w:rsidRPr="00524B92">
        <w:t>agency</w:t>
      </w:r>
      <w:r w:rsidR="004F4CFB">
        <w:t>/action control</w:t>
      </w:r>
      <w:r w:rsidRPr="00524B92">
        <w:t xml:space="preserve"> modulates the behavioral impact of gaze cues.</w:t>
      </w:r>
      <w:r w:rsidR="00D32CC8">
        <w:t xml:space="preserve"> Finally, we have chosen discrimination between two very similar colors to make the task more difficult (</w:t>
      </w:r>
      <w:r w:rsidR="002F43F2">
        <w:t>hence</w:t>
      </w:r>
      <w:r w:rsidR="00D32CC8">
        <w:t xml:space="preserve">, slow) in order to open some </w:t>
      </w:r>
      <w:r w:rsidR="00BD4F6C">
        <w:t>‘</w:t>
      </w:r>
      <w:r w:rsidR="00D32CC8">
        <w:t>space</w:t>
      </w:r>
      <w:r w:rsidR="00BD4F6C">
        <w:t>’ for the agency to penetrate the GCE.</w:t>
      </w:r>
    </w:p>
    <w:p w14:paraId="110CB647" w14:textId="7AE0F90E" w:rsidR="00524B92" w:rsidRPr="00524B92" w:rsidRDefault="00524B92" w:rsidP="002F43F2">
      <w:pPr>
        <w:pStyle w:val="Para"/>
      </w:pPr>
      <w:r w:rsidRPr="00524B92">
        <w:t xml:space="preserve">This design allows us to </w:t>
      </w:r>
      <w:r w:rsidR="005F564B" w:rsidRPr="00524B92">
        <w:t>examine</w:t>
      </w:r>
      <w:r w:rsidRPr="00524B92">
        <w:t xml:space="preserve"> </w:t>
      </w:r>
      <w:r w:rsidR="007A2C1A">
        <w:t>whether</w:t>
      </w:r>
      <w:r w:rsidR="00FF0203">
        <w:t xml:space="preserve"> </w:t>
      </w:r>
      <w:r w:rsidRPr="00524B92">
        <w:t xml:space="preserve">internal states like </w:t>
      </w:r>
      <w:proofErr w:type="spellStart"/>
      <w:r w:rsidRPr="00524B92">
        <w:t>SoA</w:t>
      </w:r>
      <w:proofErr w:type="spellEnd"/>
      <w:r w:rsidRPr="00524B92">
        <w:t xml:space="preserve"> shape social attention. Drawing on predictive processing </w:t>
      </w:r>
      <w:r w:rsidR="005F564B">
        <w:fldChar w:fldCharType="begin"/>
      </w:r>
      <w:r w:rsidR="001B5057">
        <w:instrText xml:space="preserve"> ADDIN ZOTERO_ITEM CSL_CITATION {"citationID":"dTQCtVvl","properties":{"formattedCitation":"[35],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F564B">
        <w:fldChar w:fldCharType="separate"/>
      </w:r>
      <w:r w:rsidR="002557EF">
        <w:rPr>
          <w:rFonts w:cs="Linux Libertine"/>
        </w:rPr>
        <w:t>(</w:t>
      </w:r>
      <w:r w:rsidR="002557EF" w:rsidRPr="002557EF">
        <w:t xml:space="preserve"> </w:t>
      </w:r>
      <w:r w:rsidR="002557EF" w:rsidRPr="00524B92">
        <w:t>Friston, 2012</w:t>
      </w:r>
      <w:r w:rsidR="002557EF">
        <w:t>;</w:t>
      </w:r>
      <w:r w:rsidR="002557EF">
        <w:rPr>
          <w:rFonts w:cs="Linux Libertine"/>
        </w:rPr>
        <w:t xml:space="preserve"> </w:t>
      </w:r>
      <w:r w:rsidR="005F564B">
        <w:fldChar w:fldCharType="end"/>
      </w:r>
      <w:r w:rsidR="002557EF" w:rsidRPr="002557EF">
        <w:t xml:space="preserve"> </w:t>
      </w:r>
      <w:r w:rsidR="002557EF" w:rsidRPr="00524B92">
        <w:t xml:space="preserve">Wolpert &amp; </w:t>
      </w:r>
      <w:proofErr w:type="spellStart"/>
      <w:r w:rsidR="002557EF" w:rsidRPr="00524B92">
        <w:t>Kawato</w:t>
      </w:r>
      <w:proofErr w:type="spellEnd"/>
      <w:r w:rsidR="002557EF" w:rsidRPr="00524B92">
        <w:t>, 1998</w:t>
      </w:r>
      <w:r w:rsidR="002557EF">
        <w:t>)</w:t>
      </w:r>
      <w:r w:rsidRPr="00524B92">
        <w:t xml:space="preserve"> </w:t>
      </w:r>
      <w:r w:rsidR="002557EF" w:rsidRPr="00524B92">
        <w:t>and cue integration frameworks (</w:t>
      </w:r>
      <w:proofErr w:type="spellStart"/>
      <w:r w:rsidR="002557EF" w:rsidRPr="00524B92">
        <w:t>Pacherie</w:t>
      </w:r>
      <w:proofErr w:type="spellEnd"/>
      <w:r w:rsidR="002557EF" w:rsidRPr="00524B92">
        <w:t>, 2013), as well as empirical findings showing that congruent action–outcome relationships enhance both agency and attentional salience (Wenke et al., 2010; Gutzeit et al., 2024), we propose that the effectiveness of gaze cues will vary systematically with perceived agency.</w:t>
      </w:r>
    </w:p>
    <w:p w14:paraId="2FB96F33" w14:textId="19703B5F" w:rsidR="00524B92" w:rsidRPr="00524B92" w:rsidRDefault="00524B92" w:rsidP="002F43F2">
      <w:pPr>
        <w:pStyle w:val="Para"/>
      </w:pPr>
      <w:r w:rsidRPr="00524B92">
        <w:t>Specifically, we expect</w:t>
      </w:r>
      <w:r w:rsidR="00217149">
        <w:t>ed</w:t>
      </w:r>
      <w:r w:rsidRPr="00524B92">
        <w:t xml:space="preserve"> enhanced gaze cueing</w:t>
      </w:r>
      <w:r w:rsidR="00716FD4">
        <w:t xml:space="preserve"> effect</w:t>
      </w:r>
      <w:r w:rsidRPr="00524B92">
        <w:t xml:space="preserve"> in </w:t>
      </w:r>
      <w:r w:rsidR="00716FD4">
        <w:t>action-outcome intentionally consistent</w:t>
      </w:r>
      <w:r w:rsidRPr="00524B92">
        <w:t xml:space="preserve"> condition, where participants’ chosen direction </w:t>
      </w:r>
      <w:r w:rsidR="00185BBB">
        <w:t>would</w:t>
      </w:r>
      <w:r w:rsidR="00185BBB" w:rsidRPr="00524B92">
        <w:t xml:space="preserve"> </w:t>
      </w:r>
      <w:r w:rsidRPr="00524B92">
        <w:t xml:space="preserve">follow by </w:t>
      </w:r>
      <w:r w:rsidR="002F43F2" w:rsidRPr="00524B92">
        <w:t>an</w:t>
      </w:r>
      <w:r w:rsidRPr="00524B92">
        <w:t xml:space="preserve"> </w:t>
      </w:r>
      <w:r w:rsidR="00185BBB">
        <w:t>intended</w:t>
      </w:r>
      <w:r w:rsidR="00185BBB" w:rsidRPr="00524B92">
        <w:t xml:space="preserve"> </w:t>
      </w:r>
      <w:r w:rsidRPr="00524B92">
        <w:t xml:space="preserve">gaze shift, reinforcing predictive </w:t>
      </w:r>
      <w:r w:rsidR="00F261C7">
        <w:t>consistency</w:t>
      </w:r>
      <w:r w:rsidR="00F261C7" w:rsidRPr="00524B92">
        <w:t xml:space="preserve"> </w:t>
      </w:r>
      <w:r w:rsidRPr="00524B92">
        <w:t xml:space="preserve">and strengthening </w:t>
      </w:r>
      <w:proofErr w:type="spellStart"/>
      <w:r w:rsidRPr="00524B92">
        <w:t>SoA</w:t>
      </w:r>
      <w:proofErr w:type="spellEnd"/>
      <w:r w:rsidRPr="00524B92">
        <w:t xml:space="preserve">. By contrast, </w:t>
      </w:r>
      <w:r w:rsidR="00D8110B">
        <w:t xml:space="preserve">action-outcome intentionally inconsistent </w:t>
      </w:r>
      <w:r w:rsidRPr="00524B92">
        <w:t xml:space="preserve">trials </w:t>
      </w:r>
      <w:r w:rsidR="004F0DD6">
        <w:t>might</w:t>
      </w:r>
      <w:r w:rsidR="004F0DD6" w:rsidRPr="00524B92">
        <w:t xml:space="preserve"> </w:t>
      </w:r>
      <w:r w:rsidRPr="00524B92">
        <w:t xml:space="preserve">weaken or disrupt cueing, as the violated expectation likely </w:t>
      </w:r>
      <w:r w:rsidR="009E5800">
        <w:t xml:space="preserve">would </w:t>
      </w:r>
      <w:r w:rsidRPr="00524B92">
        <w:t>reduce perceived agency. Passive</w:t>
      </w:r>
      <w:r w:rsidR="00FE01D7">
        <w:t>/control</w:t>
      </w:r>
      <w:r w:rsidRPr="00524B92">
        <w:t xml:space="preserve"> trials, in which no volitional input </w:t>
      </w:r>
      <w:r w:rsidR="001C2EC2">
        <w:t>would be</w:t>
      </w:r>
      <w:r w:rsidR="001C2EC2" w:rsidRPr="00524B92">
        <w:t xml:space="preserve"> </w:t>
      </w:r>
      <w:r w:rsidRPr="00524B92">
        <w:t xml:space="preserve">involved, </w:t>
      </w:r>
      <w:r w:rsidR="00DE2E96">
        <w:t>were</w:t>
      </w:r>
      <w:r w:rsidR="00DE2E96" w:rsidRPr="00524B92">
        <w:t xml:space="preserve"> </w:t>
      </w:r>
      <w:r w:rsidRPr="00524B92">
        <w:t>expected to yield intermediate effect, reflecting neither enhanced agency nor explicit violation of expectations.</w:t>
      </w:r>
    </w:p>
    <w:p w14:paraId="77EBD436" w14:textId="004631B2" w:rsidR="00524B92" w:rsidRDefault="00524B92" w:rsidP="002F43F2">
      <w:pPr>
        <w:pStyle w:val="Para"/>
      </w:pPr>
      <w:r w:rsidRPr="00524B92">
        <w:lastRenderedPageBreak/>
        <w:t>This approach inverts previous paradigms focused on how gaze influences agency</w:t>
      </w:r>
      <w:r w:rsidR="002B6291">
        <w:t xml:space="preserve"> </w:t>
      </w:r>
      <w:r w:rsidR="001C2AAA">
        <w:t>(Gutzeit et al., 2024</w:t>
      </w:r>
      <w:r w:rsidR="005F155F">
        <w:t xml:space="preserve">; </w:t>
      </w:r>
      <w:r w:rsidR="005F155F" w:rsidRPr="00524B92">
        <w:t>Ulloa et al., 2019</w:t>
      </w:r>
      <w:r w:rsidR="005F155F">
        <w:t>)</w:t>
      </w:r>
      <w:r w:rsidRPr="00524B92">
        <w:t xml:space="preserve"> offering instead a novel framework for understanding </w:t>
      </w:r>
      <w:r w:rsidR="002872B0">
        <w:t xml:space="preserve">whether and </w:t>
      </w:r>
      <w:r w:rsidRPr="00524B92">
        <w:t xml:space="preserve">how </w:t>
      </w:r>
      <w:proofErr w:type="spellStart"/>
      <w:r w:rsidRPr="00524B92">
        <w:t>SoA</w:t>
      </w:r>
      <w:proofErr w:type="spellEnd"/>
      <w:r w:rsidRPr="00524B92">
        <w:t xml:space="preserve"> can act as a top-down modulator of gaze-guided attention. The findings extend gaze cueing research into the domain of volitional control and predictive inference, highlighting the bidirectional interplay between internal states and social cues. Moreover, our work has broader implications: real-world joint attention and social coordination often depend on a person’s perceived role as an initiator or responder. Understanding how perceived </w:t>
      </w:r>
      <w:r w:rsidR="003F1A6A">
        <w:t xml:space="preserve">action </w:t>
      </w:r>
      <w:r w:rsidRPr="00524B92">
        <w:t xml:space="preserve">control modulates attention to gaze </w:t>
      </w:r>
      <w:r w:rsidR="009963F9">
        <w:t xml:space="preserve">direction </w:t>
      </w:r>
      <w:r w:rsidRPr="00524B92">
        <w:t xml:space="preserve">can </w:t>
      </w:r>
      <w:r w:rsidR="00677580">
        <w:t>enrich</w:t>
      </w:r>
      <w:r w:rsidR="007921C4" w:rsidRPr="00524B92">
        <w:t xml:space="preserve"> </w:t>
      </w:r>
      <w:r w:rsidRPr="00524B92">
        <w:t xml:space="preserve">cognitive models of social perception, </w:t>
      </w:r>
      <w:r w:rsidR="004C664B">
        <w:t>and have</w:t>
      </w:r>
      <w:r w:rsidR="004C664B" w:rsidRPr="00524B92">
        <w:t xml:space="preserve"> </w:t>
      </w:r>
      <w:r w:rsidRPr="00524B92">
        <w:t>practical applications in education, therapy, and the design of socially responsive artificial agents.</w:t>
      </w:r>
    </w:p>
    <w:p w14:paraId="2D390FE8" w14:textId="77777777" w:rsidR="00524B92" w:rsidRDefault="00524B92" w:rsidP="003F3012">
      <w:pPr>
        <w:pStyle w:val="Head1"/>
      </w:pPr>
      <w:r>
        <w:t>Experiment</w:t>
      </w:r>
    </w:p>
    <w:p w14:paraId="01240D87" w14:textId="77777777" w:rsidR="00524B92" w:rsidRDefault="00524B92" w:rsidP="005001CE">
      <w:pPr>
        <w:pStyle w:val="Head2"/>
      </w:pPr>
      <w:r>
        <w:t>Method</w:t>
      </w:r>
    </w:p>
    <w:p w14:paraId="5F27AA24" w14:textId="77777777" w:rsidR="00524B92" w:rsidRDefault="00524B92" w:rsidP="00524B92">
      <w:pPr>
        <w:pStyle w:val="Head3"/>
      </w:pPr>
      <w:r w:rsidRPr="00524B92">
        <w:t xml:space="preserve">Participants </w:t>
      </w:r>
    </w:p>
    <w:p w14:paraId="0FB70677" w14:textId="77777777" w:rsidR="00524B92" w:rsidRPr="00524B92" w:rsidRDefault="00524B92" w:rsidP="002F43F2">
      <w:pPr>
        <w:pStyle w:val="Para"/>
      </w:pPr>
      <w:r w:rsidRPr="00524B92">
        <w:t>Forty-three students participated in the experiment (7 males, age M(SD)=24.7(8.4) years old). They either volunteered or participated in exchange for a course credit after giving their written informed consent. All participants had normal or corrected to normal vision.</w:t>
      </w:r>
    </w:p>
    <w:p w14:paraId="7B7FCAEF" w14:textId="77777777" w:rsidR="00524B92" w:rsidRPr="00524B92" w:rsidRDefault="00524B92" w:rsidP="002F43F2">
      <w:pPr>
        <w:pStyle w:val="Para"/>
      </w:pPr>
    </w:p>
    <w:p w14:paraId="70992C81" w14:textId="77777777" w:rsidR="00524B92" w:rsidRDefault="00524B92" w:rsidP="00524B92">
      <w:pPr>
        <w:pStyle w:val="Head3"/>
      </w:pPr>
      <w:r w:rsidRPr="00524B92">
        <w:t xml:space="preserve">Stimuli, Design, and Procedure </w:t>
      </w:r>
    </w:p>
    <w:p w14:paraId="3F4D5077" w14:textId="0BF2C033" w:rsidR="00524B92" w:rsidRDefault="00524B92" w:rsidP="002F43F2">
      <w:pPr>
        <w:pStyle w:val="Para"/>
      </w:pPr>
      <w:r w:rsidRPr="00524B92">
        <w:t xml:space="preserve">The design of the experiment was 2 (Gaze Cueing: congruent vs. incongruent) x 3 (Action-outcome consistency: consistent vs. inconsistent vs. control) within-subjects design. The face was generated by </w:t>
      </w:r>
      <w:proofErr w:type="spellStart"/>
      <w:r w:rsidRPr="00524B92">
        <w:t>FaceGen</w:t>
      </w:r>
      <w:proofErr w:type="spellEnd"/>
      <w:r w:rsidRPr="00524B92">
        <w:t xml:space="preserve"> program </w:t>
      </w:r>
      <w:r w:rsidR="00BF7B4F">
        <w:fldChar w:fldCharType="begin"/>
      </w:r>
      <w:r w:rsidR="001B5057">
        <w:instrText xml:space="preserve"> ADDIN ZOTERO_ITEM CSL_CITATION {"citationID":"FlMMxgkQ","properties":{"formattedCitation":"[46]","plainCitation":"[46]","noteIndex":0},"citationItems":[{"id":233,"uris":["http://zotero.org/users/15023090/items/MGEUTP9E"],"itemData":{"id":233,"type":"software","title":"FaceGen"}}],"schema":"https://github.com/citation-style-language/schema/raw/master/csl-citation.json"} </w:instrText>
      </w:r>
      <w:r w:rsidR="00BF7B4F">
        <w:fldChar w:fldCharType="separate"/>
      </w:r>
      <w:r w:rsidR="001C2AAA">
        <w:rPr>
          <w:rFonts w:cs="Linux Libertine"/>
        </w:rPr>
        <w:t>(</w:t>
      </w:r>
      <w:proofErr w:type="spellStart"/>
      <w:r w:rsidR="001C2AAA">
        <w:rPr>
          <w:rFonts w:cs="Linux Libertine"/>
        </w:rPr>
        <w:t>FaceGen</w:t>
      </w:r>
      <w:proofErr w:type="spellEnd"/>
      <w:r w:rsidR="001C2AAA">
        <w:rPr>
          <w:rFonts w:cs="Linux Libertine"/>
        </w:rPr>
        <w:t>, n.d.)</w:t>
      </w:r>
      <w:r w:rsidR="00BF7B4F">
        <w:fldChar w:fldCharType="end"/>
      </w:r>
      <w:r w:rsidRPr="00524B92">
        <w:t>.  The face subtended around 13</w:t>
      </w:r>
      <w:r w:rsidR="00BF7B4F">
        <w:rPr>
          <w:rFonts w:ascii="Times New Roman" w:hAnsi="Times New Roman" w:cs="Times New Roman"/>
        </w:rPr>
        <w:t>°</w:t>
      </w:r>
      <w:r w:rsidRPr="00524B92">
        <w:t xml:space="preserve"> of visual angle in height and 6</w:t>
      </w:r>
      <w:r w:rsidR="00BF7B4F">
        <w:rPr>
          <w:rFonts w:ascii="Times New Roman" w:hAnsi="Times New Roman" w:cs="Times New Roman"/>
        </w:rPr>
        <w:t>°</w:t>
      </w:r>
      <w:r w:rsidRPr="00524B92">
        <w:t xml:space="preserve"> - in width, centered at the screen. From both sides of the face (5</w:t>
      </w:r>
      <w:r w:rsidR="00BF7B4F">
        <w:rPr>
          <w:rFonts w:ascii="Times New Roman" w:hAnsi="Times New Roman" w:cs="Times New Roman"/>
        </w:rPr>
        <w:t>°</w:t>
      </w:r>
      <w:r w:rsidRPr="00524B92">
        <w:t xml:space="preserve"> to the nearest edge) squares were presented subtending 3.5</w:t>
      </w:r>
      <w:r w:rsidR="00BF7B4F">
        <w:rPr>
          <w:rFonts w:ascii="Times New Roman" w:hAnsi="Times New Roman" w:cs="Times New Roman"/>
        </w:rPr>
        <w:t>°</w:t>
      </w:r>
      <w:r w:rsidRPr="00524B92">
        <w:t>, positioned at the eye central ‘line’. Target colors were violet (</w:t>
      </w:r>
      <w:proofErr w:type="spellStart"/>
      <w:r w:rsidRPr="00524B92">
        <w:t>BlueViolet</w:t>
      </w:r>
      <w:proofErr w:type="spellEnd"/>
      <w:r w:rsidRPr="00524B92">
        <w:t xml:space="preserve">, RGB: 138, 43, 226) </w:t>
      </w:r>
      <w:r w:rsidR="00417933">
        <w:t>and</w:t>
      </w:r>
      <w:r w:rsidR="00417933" w:rsidRPr="00524B92">
        <w:t xml:space="preserve"> </w:t>
      </w:r>
      <w:r w:rsidRPr="00524B92">
        <w:t>magenta (Magenta, RGB: 255, 0, 255) filled in one of the squares as soon as the eye movement was completed. Figure 1 presents a trial example.</w:t>
      </w:r>
    </w:p>
    <w:p w14:paraId="58B30C28" w14:textId="77777777" w:rsidR="00CA45BC" w:rsidRDefault="00CA45BC" w:rsidP="002F43F2">
      <w:pPr>
        <w:pStyle w:val="Para"/>
        <w:sectPr w:rsidR="00CA45BC" w:rsidSect="00CA45BC">
          <w:endnotePr>
            <w:numFmt w:val="decimal"/>
          </w:endnotePr>
          <w:type w:val="continuous"/>
          <w:pgSz w:w="12240" w:h="15840" w:code="9"/>
          <w:pgMar w:top="1500" w:right="1080" w:bottom="1600" w:left="1080" w:header="1080" w:footer="1080" w:gutter="0"/>
          <w:pgNumType w:start="1"/>
          <w:cols w:space="480"/>
          <w:titlePg/>
          <w:docGrid w:linePitch="360"/>
        </w:sectPr>
      </w:pPr>
    </w:p>
    <w:p w14:paraId="1414CBF6" w14:textId="0FA0E330" w:rsidR="00524B92" w:rsidRDefault="0041261D" w:rsidP="002F43F2">
      <w:pPr>
        <w:pStyle w:val="Para"/>
      </w:pPr>
      <w:r>
        <w:rPr>
          <w:noProof/>
        </w:rPr>
        <w:drawing>
          <wp:anchor distT="0" distB="0" distL="114300" distR="114300" simplePos="0" relativeHeight="251658240" behindDoc="0" locked="0" layoutInCell="1" allowOverlap="1" wp14:anchorId="19BAD159" wp14:editId="514A393D">
            <wp:simplePos x="0" y="0"/>
            <wp:positionH relativeFrom="column">
              <wp:posOffset>1416050</wp:posOffset>
            </wp:positionH>
            <wp:positionV relativeFrom="paragraph">
              <wp:posOffset>203835</wp:posOffset>
            </wp:positionV>
            <wp:extent cx="3738880" cy="2832100"/>
            <wp:effectExtent l="0" t="0" r="0" b="6350"/>
            <wp:wrapTopAndBottom/>
            <wp:docPr id="127728820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8205" name="Picture 1" descr="A screenshot of a computer gam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8880" cy="2832100"/>
                    </a:xfrm>
                    <a:prstGeom prst="rect">
                      <a:avLst/>
                    </a:prstGeom>
                  </pic:spPr>
                </pic:pic>
              </a:graphicData>
            </a:graphic>
            <wp14:sizeRelH relativeFrom="margin">
              <wp14:pctWidth>0</wp14:pctWidth>
            </wp14:sizeRelH>
            <wp14:sizeRelV relativeFrom="margin">
              <wp14:pctHeight>0</wp14:pctHeight>
            </wp14:sizeRelV>
          </wp:anchor>
        </w:drawing>
      </w:r>
    </w:p>
    <w:p w14:paraId="25330118" w14:textId="77777777" w:rsidR="00CA45BC" w:rsidRDefault="00CA45BC" w:rsidP="00524B92">
      <w:pPr>
        <w:pStyle w:val="Image"/>
        <w:sectPr w:rsidR="00CA45BC" w:rsidSect="00586A35">
          <w:endnotePr>
            <w:numFmt w:val="decimal"/>
          </w:endnotePr>
          <w:type w:val="continuous"/>
          <w:pgSz w:w="12240" w:h="15840" w:code="9"/>
          <w:pgMar w:top="1500" w:right="1080" w:bottom="1600" w:left="1080" w:header="1080" w:footer="1080" w:gutter="0"/>
          <w:pgNumType w:start="1"/>
          <w:cols w:num="2" w:space="480"/>
          <w:titlePg/>
          <w:docGrid w:linePitch="360"/>
        </w:sectPr>
      </w:pPr>
    </w:p>
    <w:p w14:paraId="7CE150F7" w14:textId="0E7F9812" w:rsidR="00524B92" w:rsidRDefault="0041261D" w:rsidP="00524B92">
      <w:pPr>
        <w:pStyle w:val="Image"/>
      </w:pPr>
      <w:r>
        <w:rPr>
          <w:noProof/>
        </w:rPr>
        <mc:AlternateContent>
          <mc:Choice Requires="wps">
            <w:drawing>
              <wp:anchor distT="0" distB="0" distL="114300" distR="114300" simplePos="0" relativeHeight="251660288" behindDoc="0" locked="0" layoutInCell="1" allowOverlap="1" wp14:anchorId="1FDD035E" wp14:editId="7FB9E505">
                <wp:simplePos x="0" y="0"/>
                <wp:positionH relativeFrom="column">
                  <wp:posOffset>32385</wp:posOffset>
                </wp:positionH>
                <wp:positionV relativeFrom="paragraph">
                  <wp:posOffset>3128645</wp:posOffset>
                </wp:positionV>
                <wp:extent cx="6442075" cy="635"/>
                <wp:effectExtent l="0" t="0" r="0" b="1270"/>
                <wp:wrapTopAndBottom/>
                <wp:docPr id="1965569632" name="Text Box 1"/>
                <wp:cNvGraphicFramePr/>
                <a:graphic xmlns:a="http://schemas.openxmlformats.org/drawingml/2006/main">
                  <a:graphicData uri="http://schemas.microsoft.com/office/word/2010/wordprocessingShape">
                    <wps:wsp>
                      <wps:cNvSpPr txBox="1"/>
                      <wps:spPr>
                        <a:xfrm>
                          <a:off x="0" y="0"/>
                          <a:ext cx="6442075" cy="635"/>
                        </a:xfrm>
                        <a:prstGeom prst="rect">
                          <a:avLst/>
                        </a:prstGeom>
                        <a:solidFill>
                          <a:prstClr val="white"/>
                        </a:solidFill>
                        <a:ln>
                          <a:noFill/>
                        </a:ln>
                      </wps:spPr>
                      <wps:txbx>
                        <w:txbxContent>
                          <w:p w14:paraId="158FB06F" w14:textId="72BC6C2F" w:rsidR="0041261D" w:rsidRDefault="0041261D" w:rsidP="0041261D">
                            <w:pPr>
                              <w:pStyle w:val="FigureCaption"/>
                            </w:pPr>
                            <w:r>
                              <w:t>Figure 1: Trial timeline examples (not to scale). a) Control condition (passive expectation of face appearance), incongruent gaze cuing; b) and c) participants induce face appearance with a button press, choosing gaze direction, b) – congruent gaze cuing, c) – incongruent gaze cuing. During the response window participants discriminate between colors. ITI – intertrial interval.</w:t>
                            </w:r>
                          </w:p>
                          <w:p w14:paraId="35C7BEB6" w14:textId="44705157" w:rsidR="0041261D" w:rsidRPr="0041261D" w:rsidRDefault="0041261D" w:rsidP="0041261D">
                            <w:pPr>
                              <w:pStyle w:val="Caption"/>
                              <w:rPr>
                                <w:rFonts w:ascii="Linux Libertine" w:eastAsiaTheme="minorHAnsi" w:hAnsi="Linux Libertine"/>
                                <w:noProof/>
                                <w:sz w:val="18"/>
                                <w:szCs w:val="22"/>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FDD035E" id="_x0000_t202" coordsize="21600,21600" o:spt="202" path="m,l,21600r21600,l21600,xe">
                <v:stroke joinstyle="miter"/>
                <v:path gradientshapeok="t" o:connecttype="rect"/>
              </v:shapetype>
              <v:shape id="Text Box 1" o:spid="_x0000_s1026" type="#_x0000_t202" style="position:absolute;left:0;text-align:left;margin-left:2.55pt;margin-top:246.35pt;width:507.2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" stroked="f">
                <v:textbox style="mso-fit-shape-to-text:t" inset="0,0,0,0">
                  <w:txbxContent>
                    <w:p w14:paraId="158FB06F" w14:textId="72BC6C2F" w:rsidR="0041261D" w:rsidRDefault="0041261D" w:rsidP="0041261D">
                      <w:pPr>
                        <w:pStyle w:val="FigureCaption"/>
                      </w:pPr>
                      <w:r>
                        <w:t>Figure 1: Trial timeline examples (not to scale). a) Control condition (passive expectation of face appearance), incongruent gaze cuing; b) and c) participants induce face appearance with a button press, choosing gaze direction, b) – congruent gaze cuing, c) – incongruent gaze cuing. During the response window participants discriminate between colors. ITI – intertrial interval.</w:t>
                      </w:r>
                    </w:p>
                    <w:p w14:paraId="35C7BEB6" w14:textId="44705157" w:rsidR="0041261D" w:rsidRPr="0041261D" w:rsidRDefault="0041261D" w:rsidP="0041261D">
                      <w:pPr>
                        <w:pStyle w:val="Caption"/>
                        <w:rPr>
                          <w:rFonts w:ascii="Linux Libertine" w:eastAsiaTheme="minorHAnsi" w:hAnsi="Linux Libertine"/>
                          <w:noProof/>
                          <w:sz w:val="18"/>
                          <w:szCs w:val="22"/>
                          <w:lang w:val="en-US"/>
                        </w:rPr>
                      </w:pPr>
                    </w:p>
                  </w:txbxContent>
                </v:textbox>
                <w10:wrap type="topAndBottom"/>
              </v:shape>
            </w:pict>
          </mc:Fallback>
        </mc:AlternateContent>
      </w:r>
    </w:p>
    <w:p w14:paraId="30BDB303" w14:textId="77777777" w:rsidR="00CA45BC" w:rsidRDefault="00CA45BC" w:rsidP="002F43F2">
      <w:pPr>
        <w:pStyle w:val="Para"/>
        <w:sectPr w:rsidR="00CA45BC" w:rsidSect="00CA45BC">
          <w:endnotePr>
            <w:numFmt w:val="decimal"/>
          </w:endnotePr>
          <w:type w:val="continuous"/>
          <w:pgSz w:w="12240" w:h="15840" w:code="9"/>
          <w:pgMar w:top="1500" w:right="1080" w:bottom="1600" w:left="1080" w:header="1080" w:footer="1080" w:gutter="0"/>
          <w:pgNumType w:start="1"/>
          <w:cols w:space="480"/>
          <w:titlePg/>
          <w:docGrid w:linePitch="360"/>
        </w:sectPr>
      </w:pPr>
    </w:p>
    <w:p w14:paraId="7AF6E9E6" w14:textId="2CE5FF4A" w:rsidR="00524B92" w:rsidRDefault="00524B92" w:rsidP="002F43F2">
      <w:pPr>
        <w:pStyle w:val="Para"/>
      </w:pPr>
    </w:p>
    <w:p w14:paraId="6495AC16" w14:textId="77777777" w:rsidR="00CA45BC" w:rsidRDefault="00CA45BC" w:rsidP="002F43F2">
      <w:pPr>
        <w:pStyle w:val="Para"/>
        <w:sectPr w:rsidR="00CA45BC" w:rsidSect="00586A35">
          <w:endnotePr>
            <w:numFmt w:val="decimal"/>
          </w:endnotePr>
          <w:type w:val="continuous"/>
          <w:pgSz w:w="12240" w:h="15840" w:code="9"/>
          <w:pgMar w:top="1500" w:right="1080" w:bottom="1600" w:left="1080" w:header="1080" w:footer="1080" w:gutter="0"/>
          <w:pgNumType w:start="1"/>
          <w:cols w:num="2" w:space="480"/>
          <w:titlePg/>
          <w:docGrid w:linePitch="360"/>
        </w:sectPr>
      </w:pPr>
    </w:p>
    <w:p w14:paraId="4A9F46FD" w14:textId="77777777" w:rsidR="0041261D" w:rsidRDefault="00524B92" w:rsidP="002F43F2">
      <w:pPr>
        <w:pStyle w:val="Para"/>
        <w:sectPr w:rsidR="0041261D" w:rsidSect="00CA45BC">
          <w:endnotePr>
            <w:numFmt w:val="decimal"/>
          </w:endnotePr>
          <w:type w:val="continuous"/>
          <w:pgSz w:w="12240" w:h="15840" w:code="9"/>
          <w:pgMar w:top="1500" w:right="1080" w:bottom="1600" w:left="1080" w:header="1080" w:footer="1080" w:gutter="0"/>
          <w:pgNumType w:start="1"/>
          <w:cols w:space="480"/>
          <w:titlePg/>
          <w:docGrid w:linePitch="360"/>
        </w:sectPr>
      </w:pPr>
      <w:r>
        <w:t xml:space="preserve">Stimuli presentation and response collection was controlled by E-prime 2.0 software </w:t>
      </w:r>
      <w:r w:rsidR="00BF7B4F">
        <w:fldChar w:fldCharType="begin"/>
      </w:r>
      <w:r w:rsidR="001B5057">
        <w:instrText xml:space="preserve"> ADDIN ZOTERO_ITEM CSL_CITATION {"citationID":"jwdkJq1Y","properties":{"formattedCitation":"[47]","plainCitation":"[47]","noteIndex":0},"citationItems":[{"id":215,"uris":["http://zotero.org/users/15023090/items/KLGCSAC8"],"itemData":{"id":215,"type":"software","event-place":"Pittsburgh, PA:","publisher":"Psychology Software Tools Inc.","publisher-place":"Pittsburgh, PA:","title":"E-Prime","version":"Version 2.0","author":[{"family":"Schneider","given":"Walter"},{"family":"Eschman","given":"Amy"},{"family":"Zuccolotto","given":"Anthony"}],"issued":{"date-parts":[["2002"]]}}}],"schema":"https://github.com/citation-style-language/schema/raw/master/csl-citation.json"} </w:instrText>
      </w:r>
      <w:r w:rsidR="00BF7B4F">
        <w:fldChar w:fldCharType="separate"/>
      </w:r>
      <w:r w:rsidR="00F06ED1">
        <w:rPr>
          <w:rFonts w:cs="Linux Libertine"/>
        </w:rPr>
        <w:t>(Schneider, Eschman, &amp; Zuccolotto, 2002)</w:t>
      </w:r>
      <w:r w:rsidR="00BF7B4F">
        <w:fldChar w:fldCharType="end"/>
      </w:r>
      <w:r>
        <w:t xml:space="preserve">. Participants were tested individually in a sound-proof booth in front of 22-inch monitor with resolution of 1920x1080 pixels and refresh rate of 50 Hz. They were positioned at around 60 cm from the screen. Participants were asked to perform </w:t>
      </w:r>
      <w:r w:rsidR="006A7F48">
        <w:t xml:space="preserve">two </w:t>
      </w:r>
      <w:r>
        <w:t>task</w:t>
      </w:r>
      <w:r w:rsidR="006A7F48">
        <w:t>s</w:t>
      </w:r>
      <w:r>
        <w:t xml:space="preserve">:  First task was to either pressing a button of their choice (left vs right) to initiate gaze movement or to refrain from pressing a button and to observe the gaze movements to the </w:t>
      </w:r>
      <w:r>
        <w:lastRenderedPageBreak/>
        <w:t xml:space="preserve">left or right. To initiate gaze movement participants were asked to press either button ‘6’ (right) or ‘4’ (left) on an extended keyboard: that is, the buttons were positioned on the right of the keyboard </w:t>
      </w:r>
      <w:r w:rsidR="00EE73E7">
        <w:t xml:space="preserve">The </w:t>
      </w:r>
      <w:r>
        <w:t xml:space="preserve">participants were asked to press </w:t>
      </w:r>
      <w:r w:rsidR="00944AEF">
        <w:t xml:space="preserve">these </w:t>
      </w:r>
      <w:r>
        <w:t xml:space="preserve">buttons using their right hand. The second task was color discrimination: as soon as the gaze movement was over, one of the squares </w:t>
      </w:r>
      <w:r w:rsidR="006374F1">
        <w:t xml:space="preserve">positioned from both sides of the face </w:t>
      </w:r>
      <w:r>
        <w:t xml:space="preserve">was colored. Participants were asked to discriminate between colors (violet/magenta) as fast and as accurately as possible pressing a corresponding button on the computer keyboard (“a” </w:t>
      </w:r>
      <w:proofErr w:type="gramStart"/>
      <w:r>
        <w:t>or ”d</w:t>
      </w:r>
      <w:proofErr w:type="gramEnd"/>
      <w:r>
        <w:t>”) with their left hand. Response mapping was counterbalanced between participants. A trial started with a fixation cross. The participants were instructed to press a left or right button with their right hand (‘4’ or ‘6’) of their choice only if the cross was green. If a button press was not registered during 3 sec, then a green cross would appear again. After the button press, a face with two squares from each side of the face appeared. If the cross was red, participants would wait for a face to appear without pressing left/right button</w:t>
      </w:r>
      <w:r w:rsidR="00A1434F">
        <w:t xml:space="preserve"> with their right hand</w:t>
      </w:r>
      <w:r>
        <w:t xml:space="preserve">. The red cross stayed on the screen for a random time between 500 and 1700 </w:t>
      </w:r>
      <w:proofErr w:type="spellStart"/>
      <w:r>
        <w:t>ms.</w:t>
      </w:r>
      <w:proofErr w:type="spellEnd"/>
      <w:r>
        <w:t xml:space="preserve"> Immediately after the face appearance the eyes moved either left or right, towards one of the squares. The movement took 350 </w:t>
      </w:r>
      <w:proofErr w:type="spellStart"/>
      <w:r>
        <w:t>ms.</w:t>
      </w:r>
      <w:proofErr w:type="spellEnd"/>
      <w:r>
        <w:t xml:space="preserve"> In case of movement initiation by a participant, the eye movement could be either consistent with the intended</w:t>
      </w:r>
      <w:r w:rsidR="004A16E1">
        <w:t xml:space="preserve"> by participant</w:t>
      </w:r>
      <w:r>
        <w:t xml:space="preserve"> </w:t>
      </w:r>
      <w:r w:rsidR="004A16E1">
        <w:t xml:space="preserve">gaze </w:t>
      </w:r>
      <w:r>
        <w:t xml:space="preserve">direction or inconsistent. After the eyes reach their ultimate left or right position, one of the side white squares changed its color into violet or magenta.  Participants had 1500 </w:t>
      </w:r>
      <w:proofErr w:type="spellStart"/>
      <w:r>
        <w:t>ms</w:t>
      </w:r>
      <w:proofErr w:type="spellEnd"/>
      <w:r>
        <w:t xml:space="preserve"> to </w:t>
      </w:r>
    </w:p>
    <w:p w14:paraId="341C4E6A" w14:textId="416799B5" w:rsidR="00524B92" w:rsidRDefault="00524B92" w:rsidP="002F43F2">
      <w:pPr>
        <w:pStyle w:val="Para"/>
      </w:pPr>
      <w:r>
        <w:t xml:space="preserve">respond using their left hand. The inter-trial interval was 1000 </w:t>
      </w:r>
      <w:proofErr w:type="spellStart"/>
      <w:r>
        <w:t>ms.</w:t>
      </w:r>
      <w:proofErr w:type="spellEnd"/>
      <w:r w:rsidR="0041261D">
        <w:t xml:space="preserve"> </w:t>
      </w:r>
      <w:r>
        <w:t xml:space="preserve">Participants first went through a practice block that consisted of 16 trials. The experimental procedure consisted of 168 trials (28 trials per condition). Trials were presented </w:t>
      </w:r>
      <w:r w:rsidR="002F43F2">
        <w:t>pseudo randomly</w:t>
      </w:r>
      <w:r>
        <w:t xml:space="preserve"> so that there were no more than two consecutive trials with the same condition and color.  The experiment took around 10-15 minutes to complete.</w:t>
      </w:r>
    </w:p>
    <w:p w14:paraId="588E5597" w14:textId="77777777" w:rsidR="0041261D" w:rsidRDefault="0041261D" w:rsidP="00785B9B">
      <w:pPr>
        <w:pStyle w:val="Head1"/>
        <w:sectPr w:rsidR="0041261D" w:rsidSect="0041261D">
          <w:endnotePr>
            <w:numFmt w:val="decimal"/>
          </w:endnotePr>
          <w:type w:val="continuous"/>
          <w:pgSz w:w="12240" w:h="15840" w:code="9"/>
          <w:pgMar w:top="1500" w:right="1080" w:bottom="1600" w:left="1080" w:header="1080" w:footer="1080" w:gutter="0"/>
          <w:pgNumType w:start="1"/>
          <w:cols w:space="480"/>
          <w:titlePg/>
          <w:docGrid w:linePitch="360"/>
        </w:sectPr>
      </w:pPr>
    </w:p>
    <w:p w14:paraId="3CF9059C" w14:textId="77777777" w:rsidR="00524B92" w:rsidRPr="00785B9B" w:rsidRDefault="00524B92" w:rsidP="00785B9B">
      <w:pPr>
        <w:pStyle w:val="Head1"/>
      </w:pPr>
      <w:r w:rsidRPr="00785B9B">
        <w:t>Results and Discussion</w:t>
      </w:r>
    </w:p>
    <w:p w14:paraId="385907FD" w14:textId="21991B04" w:rsidR="00524B92" w:rsidRDefault="00524B92" w:rsidP="002F43F2">
      <w:pPr>
        <w:pStyle w:val="Para"/>
      </w:pPr>
      <w:r>
        <w:t xml:space="preserve">Data of ten participants were excluded due to low accuracy (&lt;80%) or failure to follow the instruction. Data of two participants were excluded since they have complained about task difficulty. Finally, data of seven participants were excluded due to very long mean RT comparing to means of other participants (&gt;700 </w:t>
      </w:r>
      <w:proofErr w:type="spellStart"/>
      <w:r>
        <w:t>ms</w:t>
      </w:r>
      <w:proofErr w:type="spellEnd"/>
      <w:r>
        <w:t>)</w:t>
      </w:r>
      <w:r w:rsidR="00394617">
        <w:t>.</w:t>
      </w:r>
      <w:r w:rsidR="00DC7EA1">
        <w:t xml:space="preserve"> </w:t>
      </w:r>
      <w:r w:rsidR="00394617">
        <w:t>T</w:t>
      </w:r>
      <w:r w:rsidR="00DC7EA1">
        <w:t xml:space="preserve">hat is, we left </w:t>
      </w:r>
      <w:r w:rsidR="006F66CB">
        <w:t>data of</w:t>
      </w:r>
      <w:r w:rsidR="00E03F09">
        <w:t xml:space="preserve"> only</w:t>
      </w:r>
      <w:r w:rsidR="006F66CB">
        <w:t xml:space="preserve"> those</w:t>
      </w:r>
      <w:r w:rsidR="00DC7EA1">
        <w:t xml:space="preserve"> participants for whom the </w:t>
      </w:r>
      <w:r w:rsidR="00592F80">
        <w:t xml:space="preserve">color discrimination </w:t>
      </w:r>
      <w:r w:rsidR="00DC7EA1">
        <w:t>task was considerably easy</w:t>
      </w:r>
      <w:r>
        <w:t xml:space="preserve">. A post-hoc power analysis indicated that with the remaining sample size (24 participants) our experiment had sufficient power to detect even a small effect (power = 0.91 for an effect size f = 0.25). The post-hoc power analysis was conducted using G*Power 3.1.9.6 </w:t>
      </w:r>
      <w:r w:rsidR="00BF7B4F">
        <w:fldChar w:fldCharType="begin"/>
      </w:r>
      <w:r w:rsidR="001B5057">
        <w:instrText xml:space="preserve"> ADDIN ZOTERO_ITEM CSL_CITATION {"citationID":"GKMJXHuO","properties":{"formattedCitation":"[48]","plainCitation":"[48]","noteIndex":0},"citationItems":[{"id":216,"uris":["http://zotero.org/users/15023090/items/ZKTCNALJ"],"itemData":{"id":216,"type":"article-journal","container-title":"Behavior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URL":"http://link.springer.com/10.3758/BF03193146","volume":"39","author":[{"family":"Faul","given":"Franz"},{"family":"Erdfelder","given":"Edgar"},{"family":"Lang","given":"Albert-Georg"},{"family":"Buchner","given":"Axel"}],"accessed":{"date-parts":[["2025",6,28]]},"issued":{"date-parts":[["2007",5]]}}}],"schema":"https://github.com/citation-style-language/schema/raw/master/csl-citation.json"} </w:instrText>
      </w:r>
      <w:r w:rsidR="00BF7B4F">
        <w:fldChar w:fldCharType="separate"/>
      </w:r>
      <w:r w:rsidR="001C2AAA">
        <w:rPr>
          <w:rFonts w:cs="Linux Libertine"/>
        </w:rPr>
        <w:t>(Faul et al. 2007)</w:t>
      </w:r>
      <w:r w:rsidR="00BF7B4F">
        <w:fldChar w:fldCharType="end"/>
      </w:r>
      <w:r>
        <w:t>.</w:t>
      </w:r>
    </w:p>
    <w:p w14:paraId="4A945857" w14:textId="4451624F" w:rsidR="00524B92" w:rsidRDefault="00524B92" w:rsidP="002F43F2">
      <w:pPr>
        <w:pStyle w:val="Para"/>
      </w:pPr>
      <w:r>
        <w:t>From the remaining data of 24 participants’ erroneous responses (7.1%) and outliers (5.06%) with RT outside of ± 2SD per participant and per condition means were excluded from the RT analysis. The data were averaged by subject and then entered into repeated measures ANOVA (</w:t>
      </w:r>
      <w:proofErr w:type="spellStart"/>
      <w:r>
        <w:t>rANOVA</w:t>
      </w:r>
      <w:proofErr w:type="spellEnd"/>
      <w:r>
        <w:t>) with action-outcome consistency and gaze cueing</w:t>
      </w:r>
      <w:r w:rsidR="00E73C47">
        <w:t xml:space="preserve"> congruency</w:t>
      </w:r>
      <w:r>
        <w:t xml:space="preserve"> as within-subject variables. </w:t>
      </w:r>
      <w:r w:rsidR="003F31A3">
        <w:t xml:space="preserve">Corrected </w:t>
      </w:r>
      <w:r>
        <w:t>Bonferroni post-hoc test was applied where appropriate. Table 1 presents descriptive statistics per condition.</w:t>
      </w:r>
    </w:p>
    <w:p w14:paraId="380DDCDE" w14:textId="77777777" w:rsidR="00524B92" w:rsidRDefault="00524B92" w:rsidP="002F43F2">
      <w:pPr>
        <w:pStyle w:val="Para"/>
      </w:pPr>
    </w:p>
    <w:tbl>
      <w:tblPr>
        <w:tblStyle w:val="TableGrid"/>
        <w:tblW w:w="9947" w:type="dxa"/>
        <w:tblLook w:val="04A0" w:firstRow="1" w:lastRow="0" w:firstColumn="1" w:lastColumn="0" w:noHBand="0" w:noVBand="1"/>
      </w:tblPr>
      <w:tblGrid>
        <w:gridCol w:w="2859"/>
        <w:gridCol w:w="3551"/>
        <w:gridCol w:w="3537"/>
      </w:tblGrid>
      <w:tr w:rsidR="00524B92" w:rsidRPr="0096437A" w14:paraId="378388AE" w14:textId="77777777" w:rsidTr="0041261D">
        <w:trPr>
          <w:trHeight w:val="318"/>
        </w:trPr>
        <w:tc>
          <w:tcPr>
            <w:tcW w:w="2859" w:type="dxa"/>
            <w:tcBorders>
              <w:left w:val="nil"/>
              <w:bottom w:val="single" w:sz="4" w:space="0" w:color="auto"/>
              <w:right w:val="nil"/>
            </w:tcBorders>
            <w:vAlign w:val="center"/>
          </w:tcPr>
          <w:p w14:paraId="06DF13A2" w14:textId="77777777" w:rsidR="00524B92" w:rsidRDefault="00524B92" w:rsidP="00080FCF">
            <w:pPr>
              <w:rPr>
                <w:b/>
                <w:bCs/>
              </w:rPr>
            </w:pPr>
          </w:p>
        </w:tc>
        <w:tc>
          <w:tcPr>
            <w:tcW w:w="7088" w:type="dxa"/>
            <w:gridSpan w:val="2"/>
            <w:tcBorders>
              <w:left w:val="nil"/>
              <w:bottom w:val="single" w:sz="4" w:space="0" w:color="auto"/>
              <w:right w:val="nil"/>
            </w:tcBorders>
            <w:vAlign w:val="center"/>
          </w:tcPr>
          <w:p w14:paraId="3700DF4E" w14:textId="77777777" w:rsidR="00524B92" w:rsidRDefault="00524B92" w:rsidP="00080FCF">
            <w:pPr>
              <w:rPr>
                <w:b/>
                <w:bCs/>
              </w:rPr>
            </w:pPr>
            <w:r>
              <w:rPr>
                <w:b/>
                <w:bCs/>
              </w:rPr>
              <w:t xml:space="preserve">                       Gaze Cueing</w:t>
            </w:r>
          </w:p>
        </w:tc>
      </w:tr>
      <w:tr w:rsidR="00524B92" w:rsidRPr="0096437A" w14:paraId="46F5314C" w14:textId="77777777" w:rsidTr="0041261D">
        <w:trPr>
          <w:trHeight w:val="318"/>
        </w:trPr>
        <w:tc>
          <w:tcPr>
            <w:tcW w:w="2859" w:type="dxa"/>
            <w:tcBorders>
              <w:left w:val="nil"/>
              <w:bottom w:val="single" w:sz="4" w:space="0" w:color="auto"/>
              <w:right w:val="nil"/>
            </w:tcBorders>
            <w:vAlign w:val="center"/>
          </w:tcPr>
          <w:p w14:paraId="4C1F50C7" w14:textId="77777777" w:rsidR="00524B92" w:rsidRPr="0096437A" w:rsidRDefault="00524B92" w:rsidP="00080FCF">
            <w:pPr>
              <w:rPr>
                <w:b/>
                <w:bCs/>
              </w:rPr>
            </w:pPr>
            <w:r>
              <w:rPr>
                <w:b/>
                <w:bCs/>
              </w:rPr>
              <w:t>Action-Outcome</w:t>
            </w:r>
          </w:p>
        </w:tc>
        <w:tc>
          <w:tcPr>
            <w:tcW w:w="3551" w:type="dxa"/>
            <w:tcBorders>
              <w:left w:val="nil"/>
              <w:bottom w:val="single" w:sz="4" w:space="0" w:color="auto"/>
              <w:right w:val="nil"/>
            </w:tcBorders>
            <w:vAlign w:val="center"/>
          </w:tcPr>
          <w:p w14:paraId="686ACCC4" w14:textId="77777777" w:rsidR="00524B92" w:rsidRPr="0096437A" w:rsidRDefault="00524B92" w:rsidP="00080FCF">
            <w:pPr>
              <w:rPr>
                <w:b/>
                <w:bCs/>
              </w:rPr>
            </w:pPr>
            <w:r>
              <w:rPr>
                <w:b/>
                <w:bCs/>
              </w:rPr>
              <w:t>Congruent</w:t>
            </w:r>
          </w:p>
        </w:tc>
        <w:tc>
          <w:tcPr>
            <w:tcW w:w="3536" w:type="dxa"/>
            <w:tcBorders>
              <w:left w:val="nil"/>
              <w:bottom w:val="single" w:sz="4" w:space="0" w:color="auto"/>
              <w:right w:val="nil"/>
            </w:tcBorders>
            <w:vAlign w:val="center"/>
          </w:tcPr>
          <w:p w14:paraId="643E5950" w14:textId="77777777" w:rsidR="00524B92" w:rsidRPr="0096437A" w:rsidRDefault="00524B92" w:rsidP="00080FCF">
            <w:pPr>
              <w:rPr>
                <w:b/>
                <w:bCs/>
              </w:rPr>
            </w:pPr>
            <w:r>
              <w:rPr>
                <w:b/>
                <w:bCs/>
              </w:rPr>
              <w:t>Incongruent</w:t>
            </w:r>
          </w:p>
        </w:tc>
      </w:tr>
      <w:tr w:rsidR="00524B92" w:rsidRPr="0096437A" w14:paraId="28C3A9DB" w14:textId="77777777" w:rsidTr="0041261D">
        <w:trPr>
          <w:trHeight w:val="318"/>
        </w:trPr>
        <w:tc>
          <w:tcPr>
            <w:tcW w:w="2859" w:type="dxa"/>
            <w:tcBorders>
              <w:left w:val="nil"/>
              <w:bottom w:val="nil"/>
              <w:right w:val="nil"/>
            </w:tcBorders>
            <w:vAlign w:val="center"/>
          </w:tcPr>
          <w:p w14:paraId="47710547" w14:textId="77777777" w:rsidR="00524B92" w:rsidRPr="0096437A" w:rsidRDefault="00524B92" w:rsidP="00080FCF">
            <w:r>
              <w:t>Consistent</w:t>
            </w:r>
          </w:p>
        </w:tc>
        <w:tc>
          <w:tcPr>
            <w:tcW w:w="3551" w:type="dxa"/>
            <w:tcBorders>
              <w:left w:val="nil"/>
              <w:bottom w:val="nil"/>
              <w:right w:val="nil"/>
            </w:tcBorders>
            <w:vAlign w:val="center"/>
          </w:tcPr>
          <w:p w14:paraId="55E4585F" w14:textId="77777777" w:rsidR="00524B92" w:rsidRPr="0096437A" w:rsidRDefault="00524B92" w:rsidP="00080FCF">
            <w:r>
              <w:t>546</w:t>
            </w:r>
            <w:r w:rsidRPr="0096437A">
              <w:t>(</w:t>
            </w:r>
            <w:r>
              <w:t>78</w:t>
            </w:r>
            <w:r w:rsidRPr="0096437A">
              <w:t xml:space="preserve">), </w:t>
            </w:r>
            <w:r>
              <w:t>514</w:t>
            </w:r>
            <w:r w:rsidRPr="0096437A">
              <w:t>–</w:t>
            </w:r>
            <w:r>
              <w:t>579</w:t>
            </w:r>
          </w:p>
        </w:tc>
        <w:tc>
          <w:tcPr>
            <w:tcW w:w="3536" w:type="dxa"/>
            <w:tcBorders>
              <w:left w:val="nil"/>
              <w:bottom w:val="nil"/>
              <w:right w:val="nil"/>
            </w:tcBorders>
            <w:vAlign w:val="center"/>
          </w:tcPr>
          <w:p w14:paraId="341F1DB6" w14:textId="77777777" w:rsidR="00524B92" w:rsidRPr="0096437A" w:rsidRDefault="00524B92" w:rsidP="00080FCF">
            <w:r>
              <w:t>594</w:t>
            </w:r>
            <w:r w:rsidRPr="0096437A">
              <w:t>(</w:t>
            </w:r>
            <w:r>
              <w:t>87</w:t>
            </w:r>
            <w:r w:rsidRPr="0096437A">
              <w:t xml:space="preserve">), </w:t>
            </w:r>
            <w:r>
              <w:t>558</w:t>
            </w:r>
            <w:r w:rsidRPr="0096437A">
              <w:t>–</w:t>
            </w:r>
            <w:r>
              <w:t>631</w:t>
            </w:r>
          </w:p>
        </w:tc>
      </w:tr>
      <w:tr w:rsidR="00524B92" w:rsidRPr="0096437A" w14:paraId="01B8CA05" w14:textId="77777777" w:rsidTr="0041261D">
        <w:trPr>
          <w:trHeight w:val="318"/>
        </w:trPr>
        <w:tc>
          <w:tcPr>
            <w:tcW w:w="2859" w:type="dxa"/>
            <w:tcBorders>
              <w:top w:val="nil"/>
              <w:left w:val="nil"/>
              <w:bottom w:val="nil"/>
              <w:right w:val="nil"/>
            </w:tcBorders>
            <w:vAlign w:val="center"/>
          </w:tcPr>
          <w:p w14:paraId="75580F1F" w14:textId="77777777" w:rsidR="00524B92" w:rsidRPr="0096437A" w:rsidRDefault="00524B92" w:rsidP="00080FCF">
            <w:r>
              <w:t>Inconsistent</w:t>
            </w:r>
          </w:p>
        </w:tc>
        <w:tc>
          <w:tcPr>
            <w:tcW w:w="3551" w:type="dxa"/>
            <w:tcBorders>
              <w:top w:val="nil"/>
              <w:left w:val="nil"/>
              <w:bottom w:val="nil"/>
              <w:right w:val="nil"/>
            </w:tcBorders>
            <w:vAlign w:val="center"/>
          </w:tcPr>
          <w:p w14:paraId="4E490CED" w14:textId="77777777" w:rsidR="00524B92" w:rsidRPr="0096437A" w:rsidRDefault="00524B92" w:rsidP="00080FCF">
            <w:r>
              <w:t>560</w:t>
            </w:r>
            <w:r w:rsidRPr="0096437A">
              <w:t>(</w:t>
            </w:r>
            <w:r>
              <w:t>77</w:t>
            </w:r>
            <w:r w:rsidRPr="0096437A">
              <w:t xml:space="preserve">), </w:t>
            </w:r>
            <w:r>
              <w:t>528</w:t>
            </w:r>
            <w:r w:rsidRPr="0096437A">
              <w:t>–</w:t>
            </w:r>
            <w:r>
              <w:t>593</w:t>
            </w:r>
          </w:p>
        </w:tc>
        <w:tc>
          <w:tcPr>
            <w:tcW w:w="3536" w:type="dxa"/>
            <w:tcBorders>
              <w:top w:val="nil"/>
              <w:left w:val="nil"/>
              <w:bottom w:val="nil"/>
              <w:right w:val="nil"/>
            </w:tcBorders>
            <w:vAlign w:val="center"/>
          </w:tcPr>
          <w:p w14:paraId="6381B2E4" w14:textId="77777777" w:rsidR="00524B92" w:rsidRPr="0096437A" w:rsidRDefault="00524B92" w:rsidP="00080FCF">
            <w:r>
              <w:t>583</w:t>
            </w:r>
            <w:r w:rsidRPr="0096437A">
              <w:t>(</w:t>
            </w:r>
            <w:r>
              <w:t>86</w:t>
            </w:r>
            <w:r w:rsidRPr="0096437A">
              <w:t xml:space="preserve">), </w:t>
            </w:r>
            <w:r>
              <w:t>547</w:t>
            </w:r>
            <w:r w:rsidRPr="0096437A">
              <w:t>–</w:t>
            </w:r>
            <w:r>
              <w:t>620</w:t>
            </w:r>
          </w:p>
        </w:tc>
      </w:tr>
      <w:tr w:rsidR="00524B92" w:rsidRPr="0096437A" w14:paraId="00073F4A" w14:textId="77777777" w:rsidTr="0041261D">
        <w:trPr>
          <w:trHeight w:val="318"/>
        </w:trPr>
        <w:tc>
          <w:tcPr>
            <w:tcW w:w="2859" w:type="dxa"/>
            <w:tcBorders>
              <w:top w:val="nil"/>
              <w:left w:val="nil"/>
              <w:bottom w:val="single" w:sz="4" w:space="0" w:color="auto"/>
              <w:right w:val="nil"/>
            </w:tcBorders>
            <w:vAlign w:val="center"/>
          </w:tcPr>
          <w:p w14:paraId="292AD897" w14:textId="77777777" w:rsidR="00524B92" w:rsidRPr="0096437A" w:rsidRDefault="00524B92" w:rsidP="00080FCF">
            <w:r>
              <w:t>Control</w:t>
            </w:r>
          </w:p>
        </w:tc>
        <w:tc>
          <w:tcPr>
            <w:tcW w:w="3551" w:type="dxa"/>
            <w:tcBorders>
              <w:top w:val="nil"/>
              <w:left w:val="nil"/>
              <w:bottom w:val="single" w:sz="4" w:space="0" w:color="auto"/>
              <w:right w:val="nil"/>
            </w:tcBorders>
            <w:vAlign w:val="center"/>
          </w:tcPr>
          <w:p w14:paraId="6BC3EA3A" w14:textId="77777777" w:rsidR="00524B92" w:rsidRPr="0096437A" w:rsidRDefault="00524B92" w:rsidP="00080FCF">
            <w:r>
              <w:t>586</w:t>
            </w:r>
            <w:r w:rsidRPr="0096437A">
              <w:t>(</w:t>
            </w:r>
            <w:r>
              <w:t>92</w:t>
            </w:r>
            <w:r w:rsidRPr="0096437A">
              <w:t xml:space="preserve">), </w:t>
            </w:r>
            <w:r>
              <w:t>547</w:t>
            </w:r>
            <w:r w:rsidRPr="0096437A">
              <w:t>–</w:t>
            </w:r>
            <w:r>
              <w:t>625</w:t>
            </w:r>
          </w:p>
        </w:tc>
        <w:tc>
          <w:tcPr>
            <w:tcW w:w="3536" w:type="dxa"/>
            <w:tcBorders>
              <w:top w:val="nil"/>
              <w:left w:val="nil"/>
              <w:bottom w:val="single" w:sz="4" w:space="0" w:color="auto"/>
              <w:right w:val="nil"/>
            </w:tcBorders>
            <w:vAlign w:val="center"/>
          </w:tcPr>
          <w:p w14:paraId="55FDADF4" w14:textId="77777777" w:rsidR="00524B92" w:rsidRPr="0096437A" w:rsidRDefault="00524B92" w:rsidP="00080FCF">
            <w:r>
              <w:t>603</w:t>
            </w:r>
            <w:r w:rsidRPr="0096437A">
              <w:t>(9</w:t>
            </w:r>
            <w:r>
              <w:t>3</w:t>
            </w:r>
            <w:r w:rsidRPr="0096437A">
              <w:t xml:space="preserve">), </w:t>
            </w:r>
            <w:r>
              <w:t>564</w:t>
            </w:r>
            <w:r w:rsidRPr="0096437A">
              <w:t>–</w:t>
            </w:r>
            <w:r>
              <w:t>643</w:t>
            </w:r>
          </w:p>
        </w:tc>
      </w:tr>
    </w:tbl>
    <w:p w14:paraId="31139E99" w14:textId="77777777" w:rsidR="00524B92" w:rsidRDefault="00524B92" w:rsidP="00115341">
      <w:pPr>
        <w:pStyle w:val="TableCaption"/>
        <w:jc w:val="both"/>
      </w:pPr>
      <w:r>
        <w:t xml:space="preserve">Table 1: Mean RTs, standard deviations (SD) in parentheses, and 95% confidence intervals (CI) per condition, </w:t>
      </w:r>
      <w:proofErr w:type="spellStart"/>
      <w:r>
        <w:t>ms.</w:t>
      </w:r>
      <w:proofErr w:type="spellEnd"/>
    </w:p>
    <w:p w14:paraId="58B82D92" w14:textId="7805F7D5" w:rsidR="00524B92" w:rsidRDefault="00524B92" w:rsidP="002F43F2">
      <w:pPr>
        <w:pStyle w:val="Para"/>
      </w:pPr>
      <w:proofErr w:type="spellStart"/>
      <w:r>
        <w:t>rANOVA</w:t>
      </w:r>
      <w:proofErr w:type="spellEnd"/>
      <w:r>
        <w:t xml:space="preserve"> obtained </w:t>
      </w:r>
      <w:r w:rsidRPr="00DC7F49">
        <w:t xml:space="preserve">a significant main effect of </w:t>
      </w:r>
      <w:r>
        <w:t xml:space="preserve">gaze cueing </w:t>
      </w:r>
      <w:r w:rsidRPr="00DC7F49">
        <w:t>(</w:t>
      </w:r>
      <w:proofErr w:type="gramStart"/>
      <w:r>
        <w:t>F(</w:t>
      </w:r>
      <w:proofErr w:type="gramEnd"/>
      <w:r>
        <w:t>1,</w:t>
      </w:r>
      <w:proofErr w:type="gramStart"/>
      <w:r>
        <w:t>23)=</w:t>
      </w:r>
      <w:proofErr w:type="gramEnd"/>
      <w:r>
        <w:t xml:space="preserve">32.31, p&lt;0.001 </w:t>
      </w:r>
      <w:r w:rsidRPr="00890E05">
        <w:t>η</w:t>
      </w:r>
      <w:r w:rsidRPr="00890E05">
        <w:rPr>
          <w:vertAlign w:val="subscript"/>
        </w:rPr>
        <w:t>p</w:t>
      </w:r>
      <w:r w:rsidRPr="00890E05">
        <w:rPr>
          <w:vertAlign w:val="superscript"/>
        </w:rPr>
        <w:t>2</w:t>
      </w:r>
      <w:r>
        <w:t>=0.58</w:t>
      </w:r>
      <w:r w:rsidRPr="00067881">
        <w:t>)</w:t>
      </w:r>
      <w:r>
        <w:t>,</w:t>
      </w:r>
      <w:r w:rsidRPr="00DC7F49">
        <w:t xml:space="preserve"> </w:t>
      </w:r>
      <w:r>
        <w:t xml:space="preserve">suggesting that color discrimination was faster in congruent (564 </w:t>
      </w:r>
      <w:proofErr w:type="spellStart"/>
      <w:r>
        <w:t>ms</w:t>
      </w:r>
      <w:proofErr w:type="spellEnd"/>
      <w:r>
        <w:t xml:space="preserve">) than in incongruent condition (594 </w:t>
      </w:r>
      <w:proofErr w:type="spellStart"/>
      <w:r>
        <w:t>ms</w:t>
      </w:r>
      <w:proofErr w:type="spellEnd"/>
      <w:r>
        <w:t xml:space="preserve">). Main effect of </w:t>
      </w:r>
      <w:r w:rsidRPr="005779EB">
        <w:t>action</w:t>
      </w:r>
      <w:r>
        <w:t xml:space="preserve">-outcome consistency was also significant </w:t>
      </w:r>
      <w:r w:rsidRPr="00DC7F49">
        <w:t>(</w:t>
      </w:r>
      <w:proofErr w:type="gramStart"/>
      <w:r>
        <w:t>F(</w:t>
      </w:r>
      <w:proofErr w:type="gramEnd"/>
      <w:r>
        <w:t>2,</w:t>
      </w:r>
      <w:proofErr w:type="gramStart"/>
      <w:r>
        <w:t>46)=</w:t>
      </w:r>
      <w:proofErr w:type="gramEnd"/>
      <w:r>
        <w:t xml:space="preserve">5.96, p=0.005, </w:t>
      </w:r>
      <w:r w:rsidRPr="00890E05">
        <w:t>η</w:t>
      </w:r>
      <w:r w:rsidRPr="00890E05">
        <w:rPr>
          <w:vertAlign w:val="subscript"/>
        </w:rPr>
        <w:t>p</w:t>
      </w:r>
      <w:r w:rsidRPr="00890E05">
        <w:rPr>
          <w:vertAlign w:val="superscript"/>
        </w:rPr>
        <w:t>2</w:t>
      </w:r>
      <w:r>
        <w:t>=0.21</w:t>
      </w:r>
      <w:r w:rsidRPr="00067881">
        <w:t>)</w:t>
      </w:r>
      <w:r>
        <w:t xml:space="preserve">. A post-hoc analysis showed that the control condition (595 </w:t>
      </w:r>
      <w:proofErr w:type="spellStart"/>
      <w:r>
        <w:t>ms</w:t>
      </w:r>
      <w:proofErr w:type="spellEnd"/>
      <w:r>
        <w:t xml:space="preserve">) produced slower responses than the consistent (570 </w:t>
      </w:r>
      <w:proofErr w:type="spellStart"/>
      <w:r>
        <w:t>ms</w:t>
      </w:r>
      <w:proofErr w:type="spellEnd"/>
      <w:r>
        <w:t xml:space="preserve">, p=0.027) and inconsistent (572 </w:t>
      </w:r>
      <w:proofErr w:type="spellStart"/>
      <w:r>
        <w:t>ms</w:t>
      </w:r>
      <w:proofErr w:type="spellEnd"/>
      <w:r>
        <w:t>, p=0.042) conditions. There was no difference between consistent and inconsistent conditions (p=0.776). Most importantly</w:t>
      </w:r>
      <w:r w:rsidRPr="00FB4FB1">
        <w:t>, a significant two-way interaction (</w:t>
      </w:r>
      <w:proofErr w:type="gramStart"/>
      <w:r>
        <w:t>F(</w:t>
      </w:r>
      <w:proofErr w:type="gramEnd"/>
      <w:r>
        <w:t>2,</w:t>
      </w:r>
      <w:proofErr w:type="gramStart"/>
      <w:r>
        <w:t>46)=</w:t>
      </w:r>
      <w:proofErr w:type="gramEnd"/>
      <w:r>
        <w:t>3.82</w:t>
      </w:r>
      <w:r w:rsidRPr="00FB4FB1">
        <w:t>, p</w:t>
      </w:r>
      <w:r>
        <w:t>=0.029,</w:t>
      </w:r>
      <w:r w:rsidRPr="00FB4FB1">
        <w:t xml:space="preserve"> η</w:t>
      </w:r>
      <w:r w:rsidRPr="00FB4FB1">
        <w:rPr>
          <w:vertAlign w:val="subscript"/>
        </w:rPr>
        <w:t>p</w:t>
      </w:r>
      <w:r w:rsidRPr="00FB4FB1">
        <w:rPr>
          <w:vertAlign w:val="superscript"/>
        </w:rPr>
        <w:t>2</w:t>
      </w:r>
      <w:r>
        <w:t>=0.14</w:t>
      </w:r>
      <w:r w:rsidRPr="00FB4FB1">
        <w:t>)</w:t>
      </w:r>
      <w:r>
        <w:t xml:space="preserve"> was obtained (see </w:t>
      </w:r>
      <w:r w:rsidRPr="00C13B0E">
        <w:t>Figure</w:t>
      </w:r>
      <w:r>
        <w:t xml:space="preserve"> 2)</w:t>
      </w:r>
      <w:r w:rsidRPr="00FB4FB1">
        <w:t xml:space="preserve">. A </w:t>
      </w:r>
      <w:r>
        <w:t>p</w:t>
      </w:r>
      <w:r w:rsidRPr="00FB4FB1">
        <w:t xml:space="preserve">ost-hoc comparison showed </w:t>
      </w:r>
      <w:r>
        <w:t xml:space="preserve">a significant gaze cueing congruence effect in action consistent condition (48 </w:t>
      </w:r>
      <w:proofErr w:type="spellStart"/>
      <w:r>
        <w:t>ms</w:t>
      </w:r>
      <w:proofErr w:type="spellEnd"/>
      <w:r>
        <w:t>, difference between incongruent and congruent, p=0.001) as well as a congruence effect in inconsistent</w:t>
      </w:r>
      <w:r w:rsidR="00F7098C">
        <w:t xml:space="preserve"> action-outcome</w:t>
      </w:r>
      <w:r>
        <w:t xml:space="preserve"> condition (23 </w:t>
      </w:r>
      <w:proofErr w:type="spellStart"/>
      <w:r>
        <w:t>ms</w:t>
      </w:r>
      <w:proofErr w:type="spellEnd"/>
      <w:r>
        <w:t xml:space="preserve">, p=0.036). Surprisingly, there were no </w:t>
      </w:r>
      <w:r w:rsidR="00E02B2A">
        <w:t xml:space="preserve">significant </w:t>
      </w:r>
      <w:r>
        <w:t xml:space="preserve">congruence effect in the control condition (17 </w:t>
      </w:r>
      <w:proofErr w:type="spellStart"/>
      <w:r>
        <w:t>ms</w:t>
      </w:r>
      <w:proofErr w:type="spellEnd"/>
      <w:r>
        <w:t>, p=0</w:t>
      </w:r>
      <w:r w:rsidR="00A50462">
        <w:t>.</w:t>
      </w:r>
      <w:r>
        <w:t xml:space="preserve">359). In addition, Bonferroni post-hoc test found significant difference </w:t>
      </w:r>
      <w:r w:rsidR="005779EB">
        <w:t>between consistent</w:t>
      </w:r>
      <w:r w:rsidR="00E267F2">
        <w:t xml:space="preserve"> action-outcome</w:t>
      </w:r>
      <w:r>
        <w:t xml:space="preserve"> and control (p=0.039) and incongruent control (p&lt;0.001). The difference between the three mean conditions in incongruent gaze cue was insignificant (all </w:t>
      </w:r>
      <w:proofErr w:type="spellStart"/>
      <w:r>
        <w:t>ps</w:t>
      </w:r>
      <w:proofErr w:type="spellEnd"/>
      <w:r>
        <w:t>&gt;0.8) (cf. Figure 2).</w:t>
      </w:r>
    </w:p>
    <w:p w14:paraId="3E809ACF" w14:textId="77777777" w:rsidR="0041261D" w:rsidRDefault="0041261D" w:rsidP="002F43F2">
      <w:pPr>
        <w:pStyle w:val="Para"/>
        <w:sectPr w:rsidR="0041261D" w:rsidSect="0041261D">
          <w:endnotePr>
            <w:numFmt w:val="decimal"/>
          </w:endnotePr>
          <w:type w:val="continuous"/>
          <w:pgSz w:w="12240" w:h="15840" w:code="9"/>
          <w:pgMar w:top="1500" w:right="1080" w:bottom="1600" w:left="1080" w:header="1080" w:footer="1080" w:gutter="0"/>
          <w:pgNumType w:start="1"/>
          <w:cols w:space="480"/>
          <w:titlePg/>
          <w:docGrid w:linePitch="360"/>
        </w:sectPr>
      </w:pPr>
    </w:p>
    <w:p w14:paraId="67766CB3" w14:textId="77777777" w:rsidR="0041261D" w:rsidRDefault="0041261D" w:rsidP="002F43F2">
      <w:pPr>
        <w:pStyle w:val="Para"/>
        <w:sectPr w:rsidR="0041261D" w:rsidSect="0041261D">
          <w:endnotePr>
            <w:numFmt w:val="decimal"/>
          </w:endnotePr>
          <w:type w:val="continuous"/>
          <w:pgSz w:w="12240" w:h="15840" w:code="9"/>
          <w:pgMar w:top="1500" w:right="1080" w:bottom="1600" w:left="1080" w:header="1080" w:footer="1080" w:gutter="0"/>
          <w:pgNumType w:start="1"/>
          <w:cols w:space="480"/>
          <w:titlePg/>
          <w:docGrid w:linePitch="360"/>
        </w:sectPr>
      </w:pPr>
    </w:p>
    <w:p w14:paraId="2CB92749" w14:textId="77777777" w:rsidR="00524B92" w:rsidRDefault="00524B92" w:rsidP="002F43F2">
      <w:pPr>
        <w:pStyle w:val="Para"/>
      </w:pPr>
    </w:p>
    <w:p w14:paraId="5624EEEA" w14:textId="77777777" w:rsidR="00524B92" w:rsidRDefault="00524B92" w:rsidP="00524B92">
      <w:pPr>
        <w:pStyle w:val="Image"/>
      </w:pPr>
      <w:r w:rsidRPr="00524B92">
        <w:rPr>
          <w:noProof/>
        </w:rPr>
        <w:lastRenderedPageBreak/>
        <w:drawing>
          <wp:inline distT="0" distB="0" distL="0" distR="0" wp14:anchorId="6392AB19" wp14:editId="0CBAC317">
            <wp:extent cx="2127250" cy="2069634"/>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3">
                      <a:extLst>
                        <a:ext uri="{28A0092B-C50C-407E-A947-70E740481C1C}">
                          <a14:useLocalDpi xmlns:a14="http://schemas.microsoft.com/office/drawing/2010/main" val="0"/>
                        </a:ext>
                      </a:extLst>
                    </a:blip>
                    <a:stretch>
                      <a:fillRect/>
                    </a:stretch>
                  </pic:blipFill>
                  <pic:spPr>
                    <a:xfrm>
                      <a:off x="0" y="0"/>
                      <a:ext cx="2141747" cy="2083738"/>
                    </a:xfrm>
                    <a:prstGeom prst="rect">
                      <a:avLst/>
                    </a:prstGeom>
                  </pic:spPr>
                </pic:pic>
              </a:graphicData>
            </a:graphic>
          </wp:inline>
        </w:drawing>
      </w:r>
    </w:p>
    <w:p w14:paraId="61EE6737" w14:textId="77777777" w:rsidR="00524B92" w:rsidRDefault="00524B92" w:rsidP="002F43F2">
      <w:pPr>
        <w:pStyle w:val="FigureCaption"/>
      </w:pPr>
      <w:r>
        <w:t>Figure 2: A gaze cuing by action consistency interaction. Vertical bars denote 95% CI.</w:t>
      </w:r>
      <w:r w:rsidRPr="00524B92">
        <w:t xml:space="preserve"> * p&lt;0.05; ** p&lt;0.01.</w:t>
      </w:r>
      <w:r>
        <w:t xml:space="preserve">   </w:t>
      </w:r>
    </w:p>
    <w:p w14:paraId="11FA8B84" w14:textId="1AF7B908" w:rsidR="00524B92" w:rsidRPr="00115341" w:rsidRDefault="00524B92" w:rsidP="002F43F2">
      <w:pPr>
        <w:pStyle w:val="Para"/>
        <w:rPr>
          <w:highlight w:val="yellow"/>
        </w:rPr>
      </w:pPr>
      <w:r>
        <w:t>Overall, the results suggested that the gaze cueing was affected by action</w:t>
      </w:r>
      <w:r w:rsidR="003F4607">
        <w:t>-outcome</w:t>
      </w:r>
      <w:r>
        <w:t xml:space="preserve"> consistenc</w:t>
      </w:r>
      <w:r w:rsidR="003F4607">
        <w:t>y</w:t>
      </w:r>
      <w:r>
        <w:t xml:space="preserve">. In particular, the </w:t>
      </w:r>
      <w:r w:rsidR="00A55382">
        <w:t xml:space="preserve">consistent </w:t>
      </w:r>
      <w:r>
        <w:t>action-outcome condition made the effect two times larger than in inconsistent</w:t>
      </w:r>
      <w:r w:rsidR="00A55382">
        <w:t xml:space="preserve"> action-</w:t>
      </w:r>
      <w:r w:rsidR="002F43F2">
        <w:t>outcome condition</w:t>
      </w:r>
      <w:r>
        <w:t xml:space="preserve"> (43 vs 23 </w:t>
      </w:r>
      <w:proofErr w:type="spellStart"/>
      <w:r>
        <w:t>ms</w:t>
      </w:r>
      <w:proofErr w:type="spellEnd"/>
      <w:r>
        <w:t xml:space="preserve">). This result is in line with </w:t>
      </w:r>
      <w:r w:rsidR="0071778C">
        <w:t>data</w:t>
      </w:r>
      <w:r w:rsidR="000332B5" w:rsidRPr="005779EB">
        <w:t xml:space="preserve"> </w:t>
      </w:r>
      <w:r w:rsidR="0071778C">
        <w:t>suggesting</w:t>
      </w:r>
      <w:r w:rsidR="0071778C" w:rsidRPr="005779EB">
        <w:t xml:space="preserve"> </w:t>
      </w:r>
      <w:r w:rsidR="000332B5" w:rsidRPr="005779EB">
        <w:t>that people tend to spare more attention towards actions they feel responsible for</w:t>
      </w:r>
      <w:r w:rsidR="002B74C6">
        <w:t xml:space="preserve"> or in control</w:t>
      </w:r>
      <w:r w:rsidR="000332B5" w:rsidRPr="005779EB">
        <w:t xml:space="preserve"> </w:t>
      </w:r>
      <w:r w:rsidR="002B74C6">
        <w:t xml:space="preserve">which is </w:t>
      </w:r>
      <w:r w:rsidR="000332B5" w:rsidRPr="005779EB">
        <w:t xml:space="preserve">linked to higher </w:t>
      </w:r>
      <w:proofErr w:type="spellStart"/>
      <w:r w:rsidR="000332B5" w:rsidRPr="005779EB">
        <w:t>SoA</w:t>
      </w:r>
      <w:proofErr w:type="spellEnd"/>
      <w:r w:rsidR="00AB5FC3" w:rsidRPr="005779EB">
        <w:t xml:space="preserve"> </w:t>
      </w:r>
      <w:r w:rsidR="002B74C6">
        <w:t>(</w:t>
      </w:r>
      <w:r w:rsidR="00AB5FC3" w:rsidRPr="005779EB">
        <w:fldChar w:fldCharType="begin"/>
      </w:r>
      <w:r w:rsidR="001B5057" w:rsidRPr="005779EB">
        <w:instrText xml:space="preserve"> ADDIN ZOTERO_ITEM CSL_CITATION {"citationID":"54nzoOB2","properties":{"formattedCitation":"[34], [43]","plainCitation":"[34], [43]","noteIndex":0},"citationItems":[{"id":83,"uris":["http://zotero.org/users/15023090/items/TMGPM97G"],"itemData":{"id":83,"type":"book","ISBN":"978-0-19-998834-1","title":"Agency and Joint Attention","author":[{"family":"Metcalfe","given":"Janet"},{"family":"Terrace","given":"Herbert S."}],"issued":{"date-parts":[["2013"]]}}},{"id":234,"uris":["http://zotero.org/users/15023090/items/V5W9DJ6N"],"itemData":{"id":234,"type":"article-journal","container-title":"Nature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AB5FC3" w:rsidRPr="005779EB">
        <w:fldChar w:fldCharType="separate"/>
      </w:r>
      <w:r w:rsidR="005F155F" w:rsidRPr="007A5002">
        <w:t>Metcalfe &amp; Terrace, 2013</w:t>
      </w:r>
      <w:r w:rsidR="005F155F">
        <w:t>;</w:t>
      </w:r>
      <w:r w:rsidR="002557EF">
        <w:rPr>
          <w:rFonts w:cs="Linux Libertine"/>
        </w:rPr>
        <w:t xml:space="preserve"> </w:t>
      </w:r>
      <w:r w:rsidR="00AB5FC3" w:rsidRPr="005779EB">
        <w:fldChar w:fldCharType="end"/>
      </w:r>
      <w:r w:rsidR="002557EF" w:rsidRPr="002557EF">
        <w:t xml:space="preserve"> </w:t>
      </w:r>
      <w:r w:rsidR="002557EF" w:rsidRPr="00672ABE">
        <w:t>Cui et al., 2014</w:t>
      </w:r>
      <w:r w:rsidR="000332B5" w:rsidRPr="0071778C">
        <w:t>)</w:t>
      </w:r>
      <w:r w:rsidRPr="0071778C">
        <w:t>.</w:t>
      </w:r>
      <w:r>
        <w:t xml:space="preserve"> The surprising lack of </w:t>
      </w:r>
      <w:r w:rsidR="00C72B1C">
        <w:t xml:space="preserve">significant </w:t>
      </w:r>
      <w:r>
        <w:t>congruency effect in control condition partially can be explain by low expectation level</w:t>
      </w:r>
      <w:r w:rsidR="00E6633A">
        <w:t xml:space="preserve"> and shift of attention</w:t>
      </w:r>
      <w:r>
        <w:t xml:space="preserve">. Since in the control condition eye movement started in a random time between 500 and 1700 </w:t>
      </w:r>
      <w:proofErr w:type="spellStart"/>
      <w:r>
        <w:t>ms</w:t>
      </w:r>
      <w:proofErr w:type="spellEnd"/>
      <w:r>
        <w:t xml:space="preserve"> after cross </w:t>
      </w:r>
      <w:r w:rsidR="00CA3EEC">
        <w:t>onset</w:t>
      </w:r>
      <w:r>
        <w:t>, participants would</w:t>
      </w:r>
      <w:r w:rsidR="00E6633A">
        <w:t xml:space="preserve"> not be able to sustain their attention and would</w:t>
      </w:r>
      <w:r>
        <w:t xml:space="preserve"> be</w:t>
      </w:r>
      <w:r w:rsidR="003B73D2">
        <w:t xml:space="preserve"> then</w:t>
      </w:r>
      <w:r>
        <w:t xml:space="preserve"> much less prepared to </w:t>
      </w:r>
      <w:r w:rsidR="00776F92">
        <w:t xml:space="preserve">be ready </w:t>
      </w:r>
      <w:r>
        <w:t xml:space="preserve">in 350 </w:t>
      </w:r>
      <w:proofErr w:type="spellStart"/>
      <w:r>
        <w:t>ms</w:t>
      </w:r>
      <w:proofErr w:type="spellEnd"/>
      <w:r>
        <w:t xml:space="preserve"> for the color appearance. </w:t>
      </w:r>
      <w:r w:rsidR="00B20E68">
        <w:t>In contrast, in the action condition</w:t>
      </w:r>
      <w:r w:rsidR="009A431D">
        <w:t>s</w:t>
      </w:r>
      <w:r w:rsidR="00B20E68">
        <w:t xml:space="preserve">, the </w:t>
      </w:r>
      <w:r w:rsidR="001821CB">
        <w:t>sequence</w:t>
      </w:r>
      <w:r w:rsidR="00B20E68">
        <w:t xml:space="preserve"> of events </w:t>
      </w:r>
      <w:r w:rsidR="0063310F">
        <w:t>was</w:t>
      </w:r>
      <w:r w:rsidR="00B20E68">
        <w:t xml:space="preserve"> quite fast, thus, making it easier to sustain the attention. </w:t>
      </w:r>
      <w:r>
        <w:t xml:space="preserve">To test this, we run a correlational analysis between time of participants button press (action decision, Mean=489 </w:t>
      </w:r>
      <w:proofErr w:type="spellStart"/>
      <w:r>
        <w:t>ms</w:t>
      </w:r>
      <w:proofErr w:type="spellEnd"/>
      <w:r w:rsidR="00E8470F">
        <w:t>), random</w:t>
      </w:r>
      <w:r>
        <w:t xml:space="preserve"> time of eye movement start in the control condition (Mean=1105 </w:t>
      </w:r>
      <w:proofErr w:type="spellStart"/>
      <w:r>
        <w:t>ms</w:t>
      </w:r>
      <w:proofErr w:type="spellEnd"/>
      <w:r>
        <w:t>)</w:t>
      </w:r>
      <w:r w:rsidR="006B5126">
        <w:t>,</w:t>
      </w:r>
      <w:r>
        <w:t xml:space="preserve"> and color discrimination time in all six conditions. The result showed significant correlations between participants’ action decision time and RTs of six conditions (r varied between 0.472 and 0.712, p varied between 0.020 and &lt;0.001). In contrast, there was no correlation between six conditions’ RTs and eye moving time (all </w:t>
      </w:r>
      <w:proofErr w:type="spellStart"/>
      <w:r>
        <w:t>ps</w:t>
      </w:r>
      <w:proofErr w:type="spellEnd"/>
      <w:r>
        <w:t xml:space="preserve">&gt;0.8). Thus, the correlation analyses confirmed our assumption. In addition, it was obvious that the task to discriminate between the two similar colors was </w:t>
      </w:r>
      <w:r w:rsidR="004857AF">
        <w:t xml:space="preserve">quite </w:t>
      </w:r>
      <w:r>
        <w:t>difficult</w:t>
      </w:r>
      <w:r w:rsidR="004857AF">
        <w:t>.</w:t>
      </w:r>
      <w:r>
        <w:t xml:space="preserve"> </w:t>
      </w:r>
      <w:r w:rsidR="00727503">
        <w:t xml:space="preserve">Thus, probably, both possible </w:t>
      </w:r>
      <w:r w:rsidR="005001CE">
        <w:t>reasons</w:t>
      </w:r>
      <w:r w:rsidR="00727503">
        <w:t xml:space="preserve"> could be attributed to the lack of GCE in the control condition.  On the other hand, note that the </w:t>
      </w:r>
      <w:r w:rsidR="00115EF1">
        <w:t xml:space="preserve">incongruent gaze cue was not affected at all. </w:t>
      </w:r>
      <w:r w:rsidR="00E25CAA">
        <w:t xml:space="preserve">That is, it seems that only the gaze cue congruent condition was </w:t>
      </w:r>
      <w:r w:rsidR="00B25EDC">
        <w:t xml:space="preserve">‘susceptible’ </w:t>
      </w:r>
      <w:r w:rsidR="008B08B5">
        <w:t>to influence.</w:t>
      </w:r>
    </w:p>
    <w:p w14:paraId="5FBB8BE0" w14:textId="1FE4BF21" w:rsidR="00824584" w:rsidRDefault="008B08B5" w:rsidP="002F43F2">
      <w:pPr>
        <w:pStyle w:val="Para"/>
      </w:pPr>
      <w:r>
        <w:t xml:space="preserve">Overall, the results suggested </w:t>
      </w:r>
      <w:r w:rsidR="00AB7BF2">
        <w:t xml:space="preserve">that action control can modify GCE even though only in </w:t>
      </w:r>
      <w:r w:rsidR="00824584">
        <w:t xml:space="preserve">gaze cuing </w:t>
      </w:r>
      <w:r w:rsidR="00223CBE">
        <w:t xml:space="preserve">congruent condition, suggesting facilitation in comparison with the control. </w:t>
      </w:r>
      <w:r w:rsidR="00452D6E">
        <w:t xml:space="preserve">To test how the effect is distributed over time, </w:t>
      </w:r>
      <w:r w:rsidR="00BE2538">
        <w:t>distributional analyses of RT</w:t>
      </w:r>
      <w:r w:rsidR="00452D6E">
        <w:t xml:space="preserve"> were conducted.</w:t>
      </w:r>
    </w:p>
    <w:p w14:paraId="12B04914" w14:textId="77777777" w:rsidR="00524B92" w:rsidRPr="00785B9B" w:rsidRDefault="00524B92" w:rsidP="005779EB">
      <w:pPr>
        <w:pStyle w:val="Head3"/>
      </w:pPr>
      <w:r w:rsidRPr="00785B9B">
        <w:t>RT Distribution Analyses</w:t>
      </w:r>
    </w:p>
    <w:p w14:paraId="0FF0313A" w14:textId="7E1532B5" w:rsidR="00524B92" w:rsidRDefault="00524B92" w:rsidP="002F43F2">
      <w:pPr>
        <w:pStyle w:val="Para"/>
      </w:pPr>
      <w:r>
        <w:t xml:space="preserve">RT distribution analyses were conducted on data tracing temporal dynamics of the gaze cuing effect, testing whether it occurs at earlier RTs and then decays or is developed over time. </w:t>
      </w:r>
      <w:r w:rsidR="00AB5FC3">
        <w:t>These analyses</w:t>
      </w:r>
      <w:r>
        <w:t xml:space="preserve"> are important in that they can provide information on the level of </w:t>
      </w:r>
      <w:proofErr w:type="spellStart"/>
      <w:r w:rsidR="00442D6D">
        <w:t>penetretability</w:t>
      </w:r>
      <w:proofErr w:type="spellEnd"/>
      <w:r w:rsidR="00442D6D">
        <w:t xml:space="preserve"> </w:t>
      </w:r>
      <w:r>
        <w:t>of the effect given that the effect was influenced by action consistency.</w:t>
      </w:r>
      <w:r w:rsidR="00AB5FC3">
        <w:t xml:space="preserve"> </w:t>
      </w:r>
    </w:p>
    <w:p w14:paraId="0C9D30F3" w14:textId="2D276E9B" w:rsidR="00524B92" w:rsidRDefault="00524B92" w:rsidP="002F43F2">
      <w:pPr>
        <w:pStyle w:val="Para"/>
      </w:pPr>
      <w:r>
        <w:t xml:space="preserve">To make the analyses clearer, the data were not reduced into the effect size as it is often done </w:t>
      </w:r>
      <w:r w:rsidR="002557EF">
        <w:t>(e.g., Proctor, Miles, &amp; Baroni, 2011)</w:t>
      </w:r>
      <w:r>
        <w:t xml:space="preserve"> and the conditions were preserved. Individual participants’ data were rank-ordered per </w:t>
      </w:r>
      <w:r w:rsidR="006B6CF6">
        <w:t xml:space="preserve">gaze cue congruence </w:t>
      </w:r>
      <w:r>
        <w:t xml:space="preserve">and </w:t>
      </w:r>
      <w:r w:rsidR="006B6CF6">
        <w:t>action-outcome consistency</w:t>
      </w:r>
      <w:r>
        <w:t xml:space="preserve"> and then divided into five bins of 20%. Mean RTs per subject and per condition were</w:t>
      </w:r>
      <w:r w:rsidR="00155166">
        <w:t xml:space="preserve"> then</w:t>
      </w:r>
      <w:r>
        <w:t xml:space="preserve"> computed per bin. Within-subject </w:t>
      </w:r>
      <w:proofErr w:type="spellStart"/>
      <w:r>
        <w:t>rANOVAs</w:t>
      </w:r>
      <w:proofErr w:type="spellEnd"/>
      <w:r>
        <w:t xml:space="preserve"> with factors gaze cuing (congruent vs. incongruent), action consistency (consistent vs. inconsistent vs. control) and bins (1-5) were conducted. To avoid </w:t>
      </w:r>
      <w:r w:rsidR="00D7279E">
        <w:t xml:space="preserve">the </w:t>
      </w:r>
      <w:r>
        <w:t>problem</w:t>
      </w:r>
      <w:r w:rsidR="00D7279E">
        <w:t xml:space="preserve"> of multiple comparisons</w:t>
      </w:r>
      <w:r>
        <w:t xml:space="preserve">, the </w:t>
      </w:r>
      <w:proofErr w:type="spellStart"/>
      <w:r>
        <w:t>rANOVAs</w:t>
      </w:r>
      <w:proofErr w:type="spellEnd"/>
      <w:r>
        <w:t xml:space="preserve"> were run per action condition separately. Obviously, some results of the analyses mirrored the results presented </w:t>
      </w:r>
      <w:r w:rsidR="00997043">
        <w:t>in previous section</w:t>
      </w:r>
      <w:r>
        <w:t>. These were only reported and not commented. Since the key interest was the time distribution of the effect across bins and action</w:t>
      </w:r>
      <w:r w:rsidR="00537A2F">
        <w:t>-outcome</w:t>
      </w:r>
      <w:r>
        <w:t xml:space="preserve"> consistency, the 3-way interactions were submitted to Bonferroni post-hoc test independently of significance of the interactions. Graphical representation of the results is shown in Figure 3. </w:t>
      </w:r>
    </w:p>
    <w:p w14:paraId="056B9A92" w14:textId="77777777" w:rsidR="00524B92" w:rsidRDefault="00524B92" w:rsidP="002F43F2">
      <w:pPr>
        <w:pStyle w:val="Para"/>
      </w:pPr>
      <w:r>
        <w:t>Bin analysis of action-outcome consistency showed a significant main effect of gaze cuing (</w:t>
      </w:r>
      <w:proofErr w:type="gramStart"/>
      <w:r>
        <w:t>F(</w:t>
      </w:r>
      <w:proofErr w:type="gramEnd"/>
      <w:r>
        <w:t>1,</w:t>
      </w:r>
      <w:proofErr w:type="gramStart"/>
      <w:r>
        <w:t>9)=</w:t>
      </w:r>
      <w:proofErr w:type="gramEnd"/>
      <w:r>
        <w:t>48.45, p&lt;0.001, ηp2=0.84) and expected main effect of bins (</w:t>
      </w:r>
      <w:proofErr w:type="gramStart"/>
      <w:r>
        <w:t>F(</w:t>
      </w:r>
      <w:proofErr w:type="gramEnd"/>
      <w:r>
        <w:t>4,</w:t>
      </w:r>
      <w:proofErr w:type="gramStart"/>
      <w:r>
        <w:t>36)=</w:t>
      </w:r>
      <w:proofErr w:type="gramEnd"/>
      <w:r>
        <w:t xml:space="preserve">357.79, p&lt;0.001, ηp2=0.98). Post-hoc analysis showed that significant differences were present across all bins (all </w:t>
      </w:r>
      <w:proofErr w:type="spellStart"/>
      <w:r>
        <w:t>ps</w:t>
      </w:r>
      <w:proofErr w:type="spellEnd"/>
      <w:r>
        <w:t>&lt;0.001). The interaction between bins and gaze cuing was also significant (</w:t>
      </w:r>
      <w:proofErr w:type="gramStart"/>
      <w:r>
        <w:t>F(</w:t>
      </w:r>
      <w:proofErr w:type="gramEnd"/>
      <w:r>
        <w:t>4,</w:t>
      </w:r>
      <w:proofErr w:type="gramStart"/>
      <w:r>
        <w:t>36)=</w:t>
      </w:r>
      <w:proofErr w:type="gramEnd"/>
      <w:r>
        <w:t>2.76, p=0.042, η</w:t>
      </w:r>
      <w:r w:rsidRPr="005779EB">
        <w:rPr>
          <w:vertAlign w:val="subscript"/>
        </w:rPr>
        <w:t>p</w:t>
      </w:r>
      <w:r w:rsidRPr="005779EB">
        <w:rPr>
          <w:vertAlign w:val="superscript"/>
        </w:rPr>
        <w:t>2</w:t>
      </w:r>
      <w:r>
        <w:t xml:space="preserve">=0.24). The post-hoc test revealed differences between congruent and incongruent conditions across all bins (p varied from 0.022 to &lt;0.001) but the fifth one (p&gt;0.5) (cf. Figure 3).  </w:t>
      </w:r>
    </w:p>
    <w:p w14:paraId="1993F12C" w14:textId="0543A8E3" w:rsidR="0041261D" w:rsidRDefault="00524B92" w:rsidP="002F43F2">
      <w:pPr>
        <w:pStyle w:val="Para"/>
        <w:sectPr w:rsidR="0041261D" w:rsidSect="0041261D">
          <w:endnotePr>
            <w:numFmt w:val="decimal"/>
          </w:endnotePr>
          <w:type w:val="continuous"/>
          <w:pgSz w:w="12240" w:h="15840" w:code="9"/>
          <w:pgMar w:top="1500" w:right="1080" w:bottom="1600" w:left="1080" w:header="1080" w:footer="1080" w:gutter="0"/>
          <w:pgNumType w:start="1"/>
          <w:cols w:space="480"/>
          <w:titlePg/>
          <w:docGrid w:linePitch="360"/>
        </w:sectPr>
      </w:pPr>
      <w:r>
        <w:t>Bin analysis of action-outcome inconsistency showed a significant main effect of gaze cuing (</w:t>
      </w:r>
      <w:proofErr w:type="gramStart"/>
      <w:r>
        <w:t>F(</w:t>
      </w:r>
      <w:proofErr w:type="gramEnd"/>
      <w:r>
        <w:t>1,</w:t>
      </w:r>
      <w:proofErr w:type="gramStart"/>
      <w:r>
        <w:t>7)=</w:t>
      </w:r>
      <w:proofErr w:type="gramEnd"/>
      <w:r>
        <w:t>20.28, p=0.003, η</w:t>
      </w:r>
      <w:r w:rsidRPr="005779EB">
        <w:rPr>
          <w:vertAlign w:val="subscript"/>
        </w:rPr>
        <w:t>p</w:t>
      </w:r>
      <w:r w:rsidRPr="005779EB">
        <w:rPr>
          <w:vertAlign w:val="superscript"/>
        </w:rPr>
        <w:t>2</w:t>
      </w:r>
      <w:r>
        <w:t>=0.74), main effect of bins (</w:t>
      </w:r>
      <w:proofErr w:type="gramStart"/>
      <w:r>
        <w:t>F(</w:t>
      </w:r>
      <w:proofErr w:type="gramEnd"/>
      <w:r>
        <w:t>4,</w:t>
      </w:r>
      <w:proofErr w:type="gramStart"/>
      <w:r>
        <w:t>28)=</w:t>
      </w:r>
      <w:proofErr w:type="gramEnd"/>
      <w:r>
        <w:t>334.23, p&lt;0.001, η</w:t>
      </w:r>
      <w:r w:rsidRPr="005779EB">
        <w:rPr>
          <w:vertAlign w:val="subscript"/>
        </w:rPr>
        <w:t>p</w:t>
      </w:r>
      <w:r w:rsidRPr="005779EB">
        <w:rPr>
          <w:vertAlign w:val="superscript"/>
        </w:rPr>
        <w:t>2</w:t>
      </w:r>
      <w:r>
        <w:t>=0.98), and no interaction between bins and gaze cuing (</w:t>
      </w:r>
      <w:proofErr w:type="gramStart"/>
      <w:r>
        <w:t>F(</w:t>
      </w:r>
      <w:proofErr w:type="gramEnd"/>
      <w:r>
        <w:t>4,</w:t>
      </w:r>
      <w:proofErr w:type="gramStart"/>
      <w:r>
        <w:t>28)=</w:t>
      </w:r>
      <w:proofErr w:type="gramEnd"/>
      <w:r>
        <w:t>1.20, p=0.331, η</w:t>
      </w:r>
      <w:r w:rsidRPr="005779EB">
        <w:rPr>
          <w:vertAlign w:val="subscript"/>
        </w:rPr>
        <w:t>p</w:t>
      </w:r>
      <w:r w:rsidRPr="005779EB">
        <w:rPr>
          <w:vertAlign w:val="superscript"/>
        </w:rPr>
        <w:t>2</w:t>
      </w:r>
      <w:r>
        <w:t>=0.15). Post-hoc analysis on bin main effect showed that</w:t>
      </w:r>
      <w:r w:rsidR="00D9084F">
        <w:t>, naturally,</w:t>
      </w:r>
      <w:r>
        <w:t xml:space="preserve"> significant differences were present across all bins (all </w:t>
      </w:r>
      <w:proofErr w:type="spellStart"/>
      <w:r>
        <w:t>ps</w:t>
      </w:r>
      <w:proofErr w:type="spellEnd"/>
      <w:r>
        <w:t>&lt;0.001).</w:t>
      </w:r>
    </w:p>
    <w:p w14:paraId="66BFB9CF" w14:textId="7A144429" w:rsidR="0041261D" w:rsidRDefault="0041261D" w:rsidP="002F43F2">
      <w:pPr>
        <w:pStyle w:val="Para"/>
        <w:sectPr w:rsidR="0041261D" w:rsidSect="0041261D">
          <w:endnotePr>
            <w:numFmt w:val="decimal"/>
          </w:endnotePr>
          <w:type w:val="continuous"/>
          <w:pgSz w:w="12240" w:h="15840" w:code="9"/>
          <w:pgMar w:top="1500" w:right="1080" w:bottom="1600" w:left="1080" w:header="1080" w:footer="1080" w:gutter="0"/>
          <w:pgNumType w:start="1"/>
          <w:cols w:space="480"/>
          <w:titlePg/>
          <w:docGrid w:linePitch="360"/>
        </w:sectPr>
      </w:pPr>
    </w:p>
    <w:p w14:paraId="0E125B0C" w14:textId="570FD9A0" w:rsidR="004123AD" w:rsidRDefault="006C48FC" w:rsidP="002F43F2">
      <w:pPr>
        <w:pStyle w:val="Para"/>
      </w:pPr>
      <w:r>
        <w:rPr>
          <w:noProof/>
        </w:rPr>
        <w:lastRenderedPageBreak/>
        <w:drawing>
          <wp:anchor distT="0" distB="0" distL="114300" distR="114300" simplePos="0" relativeHeight="251661312" behindDoc="0" locked="0" layoutInCell="1" allowOverlap="1" wp14:anchorId="2E54B679" wp14:editId="1CFF5181">
            <wp:simplePos x="0" y="0"/>
            <wp:positionH relativeFrom="column">
              <wp:posOffset>121920</wp:posOffset>
            </wp:positionH>
            <wp:positionV relativeFrom="paragraph">
              <wp:posOffset>203200</wp:posOffset>
            </wp:positionV>
            <wp:extent cx="1934845" cy="1739265"/>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 cons+.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4845" cy="17392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44D818D" wp14:editId="598A001A">
            <wp:simplePos x="0" y="0"/>
            <wp:positionH relativeFrom="column">
              <wp:posOffset>2207260</wp:posOffset>
            </wp:positionH>
            <wp:positionV relativeFrom="paragraph">
              <wp:posOffset>203200</wp:posOffset>
            </wp:positionV>
            <wp:extent cx="2021205" cy="173926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 Incons+.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1205" cy="17392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5FFC00BA" wp14:editId="526C61C2">
            <wp:simplePos x="0" y="0"/>
            <wp:positionH relativeFrom="column">
              <wp:posOffset>4358005</wp:posOffset>
            </wp:positionH>
            <wp:positionV relativeFrom="paragraph">
              <wp:posOffset>203200</wp:posOffset>
            </wp:positionV>
            <wp:extent cx="1927860" cy="1739265"/>
            <wp:effectExtent l="0" t="0" r="0" b="0"/>
            <wp:wrapTight wrapText="bothSides">
              <wp:wrapPolygon edited="0">
                <wp:start x="0" y="0"/>
                <wp:lineTo x="0" y="21292"/>
                <wp:lineTo x="21344" y="21292"/>
                <wp:lineTo x="2134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 control+.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27860" cy="1739265"/>
                    </a:xfrm>
                    <a:prstGeom prst="rect">
                      <a:avLst/>
                    </a:prstGeom>
                  </pic:spPr>
                </pic:pic>
              </a:graphicData>
            </a:graphic>
            <wp14:sizeRelH relativeFrom="margin">
              <wp14:pctWidth>0</wp14:pctWidth>
            </wp14:sizeRelH>
            <wp14:sizeRelV relativeFrom="margin">
              <wp14:pctHeight>0</wp14:pctHeight>
            </wp14:sizeRelV>
          </wp:anchor>
        </w:drawing>
      </w:r>
    </w:p>
    <w:p w14:paraId="713B8C5C" w14:textId="39A9F9EE" w:rsidR="004123AD" w:rsidRDefault="004123AD" w:rsidP="002F43F2">
      <w:pPr>
        <w:pStyle w:val="Para"/>
      </w:pPr>
    </w:p>
    <w:p w14:paraId="14849DAF" w14:textId="198AD35E" w:rsidR="004123AD" w:rsidRDefault="004123AD" w:rsidP="002F43F2">
      <w:pPr>
        <w:pStyle w:val="FigureCaption"/>
      </w:pPr>
      <w:r>
        <w:t>Figure 3: RT distribution across 5 bins</w:t>
      </w:r>
      <w:r w:rsidR="000F4F92">
        <w:t>, per action condition (consistent, inconsistent, control)</w:t>
      </w:r>
      <w:r>
        <w:t>. Horizontal line represents bins from 1 to 5. Vertical bars denote 95% CI. * p&lt;0.05; ** p&lt;0.01; *** p&lt;0.001.</w:t>
      </w:r>
    </w:p>
    <w:p w14:paraId="3EA20A95" w14:textId="6E365DC6" w:rsidR="00524B92" w:rsidRDefault="00524B92" w:rsidP="002F43F2">
      <w:pPr>
        <w:pStyle w:val="Para"/>
      </w:pPr>
      <w:r>
        <w:t>The post-hoc test on the interaction revealed differences in bin 3 (p=0.005) and 4 (p=0.005) only. The difference in bin 1 and 5 was highly insignificant (p=1.0), and in bin 2 close to significant level (p=0.08).</w:t>
      </w:r>
    </w:p>
    <w:p w14:paraId="697CBEF5" w14:textId="25D516D1" w:rsidR="00524B92" w:rsidRDefault="00524B92" w:rsidP="002F43F2">
      <w:pPr>
        <w:pStyle w:val="Para"/>
      </w:pPr>
      <w:r>
        <w:t>Bin analysis of control condition was very similar to the previous result: it showed a significant main effect of gaze cuing (</w:t>
      </w:r>
      <w:proofErr w:type="gramStart"/>
      <w:r>
        <w:t>F(</w:t>
      </w:r>
      <w:proofErr w:type="gramEnd"/>
      <w:r>
        <w:t>1,</w:t>
      </w:r>
      <w:proofErr w:type="gramStart"/>
      <w:r>
        <w:t>8)=</w:t>
      </w:r>
      <w:proofErr w:type="gramEnd"/>
      <w:r>
        <w:t>23.43, p=0.001, η</w:t>
      </w:r>
      <w:r w:rsidRPr="005779EB">
        <w:rPr>
          <w:vertAlign w:val="subscript"/>
        </w:rPr>
        <w:t>p</w:t>
      </w:r>
      <w:r w:rsidRPr="005779EB">
        <w:rPr>
          <w:vertAlign w:val="superscript"/>
        </w:rPr>
        <w:t>2</w:t>
      </w:r>
      <w:r>
        <w:t>=0.75), main effect of bins (</w:t>
      </w:r>
      <w:proofErr w:type="gramStart"/>
      <w:r>
        <w:t>F(</w:t>
      </w:r>
      <w:proofErr w:type="gramEnd"/>
      <w:r>
        <w:t>4,</w:t>
      </w:r>
      <w:proofErr w:type="gramStart"/>
      <w:r>
        <w:t>32)=</w:t>
      </w:r>
      <w:proofErr w:type="gramEnd"/>
      <w:r>
        <w:t>835.92, p&lt;0.001, η</w:t>
      </w:r>
      <w:r w:rsidRPr="005779EB">
        <w:rPr>
          <w:vertAlign w:val="subscript"/>
        </w:rPr>
        <w:t>p</w:t>
      </w:r>
      <w:r w:rsidRPr="005779EB">
        <w:rPr>
          <w:vertAlign w:val="superscript"/>
        </w:rPr>
        <w:t>2</w:t>
      </w:r>
      <w:r>
        <w:t>=0.99), and no interaction between bins and gaze cuing (</w:t>
      </w:r>
      <w:proofErr w:type="gramStart"/>
      <w:r>
        <w:t>F(</w:t>
      </w:r>
      <w:proofErr w:type="gramEnd"/>
      <w:r>
        <w:t>4,</w:t>
      </w:r>
      <w:proofErr w:type="gramStart"/>
      <w:r>
        <w:t>32)=</w:t>
      </w:r>
      <w:proofErr w:type="gramEnd"/>
      <w:r>
        <w:t>0.48, p=0.750, η</w:t>
      </w:r>
      <w:r w:rsidRPr="005779EB">
        <w:rPr>
          <w:vertAlign w:val="subscript"/>
        </w:rPr>
        <w:t>p</w:t>
      </w:r>
      <w:r w:rsidRPr="005779EB">
        <w:rPr>
          <w:vertAlign w:val="superscript"/>
        </w:rPr>
        <w:t>2</w:t>
      </w:r>
      <w:r>
        <w:t xml:space="preserve">=0.57). Post-hoc analysis on bin main effect showed that significant differences were present across all bins (all </w:t>
      </w:r>
      <w:proofErr w:type="spellStart"/>
      <w:r>
        <w:t>ps</w:t>
      </w:r>
      <w:proofErr w:type="spellEnd"/>
      <w:r>
        <w:t>&lt;0.001). The post-hoc test on the highly insignificant interaction revealed differences only in bin 2 (p=0.001) and 3 (p=0.002). The differences in bin 1 and 5 (p=1.0) and in bin 4 (p=0.341) were highly insignificant.</w:t>
      </w:r>
    </w:p>
    <w:p w14:paraId="71B6AC1F" w14:textId="47A05E75" w:rsidR="00115341" w:rsidRDefault="00524B92" w:rsidP="002F43F2">
      <w:pPr>
        <w:pStyle w:val="Para"/>
      </w:pPr>
      <w:r>
        <w:t xml:space="preserve">Thus, very early impact of action-outcome consistency was observed in gaze cuing congruency effect, which was kept constant through the bins, disappearing in slow RTs (bin 5). At the same time, it was evident that action-outcome inconsistency as well as the control </w:t>
      </w:r>
      <w:r w:rsidR="00E8470F">
        <w:t>condition had</w:t>
      </w:r>
      <w:r w:rsidR="00665A9D">
        <w:t xml:space="preserve"> quite weak overall GCE somewhere in the middle of RT distribution.</w:t>
      </w:r>
    </w:p>
    <w:p w14:paraId="07F6096A" w14:textId="34C80426" w:rsidR="00115341" w:rsidRPr="00F53E38" w:rsidRDefault="00115341" w:rsidP="002F43F2">
      <w:pPr>
        <w:pStyle w:val="Para"/>
      </w:pPr>
      <w:r>
        <w:t xml:space="preserve">Taken together, the distribution analyses confirmed and extended the results of the experiment, </w:t>
      </w:r>
      <w:r w:rsidR="004442BC">
        <w:t xml:space="preserve">showing </w:t>
      </w:r>
      <w:r>
        <w:t xml:space="preserve">that the </w:t>
      </w:r>
      <w:r w:rsidR="00AE3156">
        <w:t>GCE</w:t>
      </w:r>
      <w:r>
        <w:t xml:space="preserve"> can be influenced by action-outcome consistency, as well as suggested that the effect </w:t>
      </w:r>
      <w:r w:rsidR="00B02181">
        <w:t xml:space="preserve">itself may </w:t>
      </w:r>
      <w:r>
        <w:t>depend on task difficulty</w:t>
      </w:r>
      <w:r w:rsidR="00B02181">
        <w:t>, predictability of stimulus appearance, and sustained attention, confirming previous findings that GCE</w:t>
      </w:r>
      <w:r w:rsidR="002A765D">
        <w:t xml:space="preserve"> </w:t>
      </w:r>
      <w:r w:rsidR="00F4065F">
        <w:t>combines both exogenous</w:t>
      </w:r>
      <w:r w:rsidR="002B26CD">
        <w:t xml:space="preserve"> (reflextive, automatic)</w:t>
      </w:r>
      <w:r w:rsidR="00F4065F">
        <w:t xml:space="preserve"> and endogenous </w:t>
      </w:r>
      <w:r w:rsidR="002B26CD">
        <w:t>(controlled, strategic) types of attentional orienting</w:t>
      </w:r>
      <w:r w:rsidR="00A84996">
        <w:t xml:space="preserve"> </w:t>
      </w:r>
      <w:r w:rsidR="002557EF">
        <w:t>(</w:t>
      </w:r>
      <w:r w:rsidR="002557EF" w:rsidRPr="00524B92">
        <w:t>Friston, 2012</w:t>
      </w:r>
      <w:r w:rsidR="002557EF">
        <w:t>)</w:t>
      </w:r>
      <w:r w:rsidR="002B26CD">
        <w:t>.</w:t>
      </w:r>
    </w:p>
    <w:p w14:paraId="04D3ED92" w14:textId="77777777" w:rsidR="00115341" w:rsidRDefault="00115341" w:rsidP="003F3012">
      <w:pPr>
        <w:pStyle w:val="Head1"/>
      </w:pPr>
      <w:r w:rsidRPr="00115341">
        <w:t>Conclusion</w:t>
      </w:r>
    </w:p>
    <w:p w14:paraId="514DA725" w14:textId="52D2DB50" w:rsidR="00E003EC" w:rsidRPr="00D92194" w:rsidRDefault="00E003EC" w:rsidP="0055353B">
      <w:pPr>
        <w:pStyle w:val="Para"/>
      </w:pPr>
      <w:r w:rsidRPr="00D92194">
        <w:t xml:space="preserve">In conclusion, the present study adds the </w:t>
      </w:r>
      <w:r w:rsidR="00CD4858">
        <w:t xml:space="preserve">action control </w:t>
      </w:r>
      <w:r w:rsidRPr="00D92194">
        <w:t>(</w:t>
      </w:r>
      <w:proofErr w:type="spellStart"/>
      <w:r w:rsidRPr="00D92194">
        <w:t>SoA</w:t>
      </w:r>
      <w:proofErr w:type="spellEnd"/>
      <w:r w:rsidRPr="00D92194">
        <w:t>) as a potential modulatory factor in GC</w:t>
      </w:r>
      <w:r w:rsidR="00690C4D">
        <w:t>E</w:t>
      </w:r>
      <w:r w:rsidRPr="00D92194">
        <w:t>, thereby supporting existing research that GC</w:t>
      </w:r>
      <w:r w:rsidR="00EA767E">
        <w:t>E</w:t>
      </w:r>
      <w:r w:rsidRPr="00D92194">
        <w:t xml:space="preserve"> is not merely an automatic, reflexive mechanism but a more complex phenomenon</w:t>
      </w:r>
      <w:r w:rsidR="002B6291">
        <w:t xml:space="preserve"> </w:t>
      </w:r>
      <w:r w:rsidR="0055353B" w:rsidRPr="00672ABE">
        <w:t>(</w:t>
      </w:r>
      <w:r w:rsidR="0055353B">
        <w:t>Dalmaso et al., 2020a; Dalmaso et al., 2020b)</w:t>
      </w:r>
      <w:r w:rsidRPr="00D92194">
        <w:t xml:space="preserve">. Our findings suggest that </w:t>
      </w:r>
      <w:r w:rsidR="00C876F6">
        <w:t>gaze cuing</w:t>
      </w:r>
      <w:r w:rsidR="00C876F6" w:rsidRPr="00D92194">
        <w:t xml:space="preserve"> </w:t>
      </w:r>
      <w:r w:rsidRPr="00D92194">
        <w:t xml:space="preserve">can be influenced by transient, experimentally induced internal states of the observer, such as </w:t>
      </w:r>
      <w:r w:rsidR="00C57EFC">
        <w:t xml:space="preserve">action </w:t>
      </w:r>
      <w:r w:rsidRPr="00D92194">
        <w:t>control.</w:t>
      </w:r>
    </w:p>
    <w:p w14:paraId="2B121D9F" w14:textId="396A953F" w:rsidR="00E003EC" w:rsidRPr="00D92194" w:rsidRDefault="00E003EC" w:rsidP="002F43F2">
      <w:pPr>
        <w:pStyle w:val="Para"/>
      </w:pPr>
      <w:r w:rsidRPr="00D92194">
        <w:t xml:space="preserve">Furthermore, the stark differences observed between the control condition and the </w:t>
      </w:r>
      <w:r w:rsidR="009D74E6">
        <w:t>action-outcome consistent and inconsistent</w:t>
      </w:r>
      <w:r w:rsidRPr="00D92194">
        <w:t xml:space="preserve"> </w:t>
      </w:r>
      <w:r w:rsidR="00E8470F" w:rsidRPr="00D92194">
        <w:t>conditions aligned</w:t>
      </w:r>
      <w:r w:rsidRPr="00D92194">
        <w:t xml:space="preserve"> with prior literature</w:t>
      </w:r>
      <w:r w:rsidR="002B6291">
        <w:t xml:space="preserve"> </w:t>
      </w:r>
      <w:r w:rsidR="0055353B" w:rsidRPr="00672ABE">
        <w:rPr>
          <w:lang w:eastAsia="it-IT"/>
        </w:rPr>
        <w:t>(Lavie, 2005)</w:t>
      </w:r>
      <w:r w:rsidR="0055353B">
        <w:rPr>
          <w:lang w:eastAsia="it-IT"/>
        </w:rPr>
        <w:t xml:space="preserve"> </w:t>
      </w:r>
      <w:r w:rsidR="00125C53">
        <w:t xml:space="preserve">and </w:t>
      </w:r>
      <w:r w:rsidRPr="00D92194">
        <w:t xml:space="preserve">demonstrate that individuals preferentially allocate attention toward environmental elements they feel associated with or responsible for, reinforcing the idea that </w:t>
      </w:r>
      <w:proofErr w:type="spellStart"/>
      <w:r w:rsidRPr="00D92194">
        <w:t>SoA</w:t>
      </w:r>
      <w:proofErr w:type="spellEnd"/>
      <w:r w:rsidRPr="00D92194">
        <w:t xml:space="preserve"> enhances attentional engagement.</w:t>
      </w:r>
    </w:p>
    <w:p w14:paraId="710714CE" w14:textId="0F26772B" w:rsidR="00E003EC" w:rsidRPr="00D92194" w:rsidRDefault="00E003EC" w:rsidP="002F43F2">
      <w:pPr>
        <w:pStyle w:val="Para"/>
      </w:pPr>
      <w:r w:rsidRPr="00D92194">
        <w:t xml:space="preserve">The relationship between </w:t>
      </w:r>
      <w:proofErr w:type="spellStart"/>
      <w:r w:rsidRPr="00D92194">
        <w:t>SoA</w:t>
      </w:r>
      <w:proofErr w:type="spellEnd"/>
      <w:r w:rsidRPr="00D92194">
        <w:t xml:space="preserve"> and </w:t>
      </w:r>
      <w:r w:rsidR="0048349E">
        <w:t xml:space="preserve">gaze </w:t>
      </w:r>
      <w:r w:rsidR="00E8470F">
        <w:t xml:space="preserve">cuing </w:t>
      </w:r>
      <w:r w:rsidR="00E8470F" w:rsidRPr="00D92194">
        <w:t>is</w:t>
      </w:r>
      <w:r w:rsidRPr="00D92194">
        <w:t xml:space="preserve"> still in its early stages of empirical exploration. While the specific mechanism of this interaction </w:t>
      </w:r>
      <w:r w:rsidR="00E8470F" w:rsidRPr="00D92194">
        <w:t>requires</w:t>
      </w:r>
      <w:r w:rsidRPr="00D92194">
        <w:t xml:space="preserve"> further investigation, our findings confirm </w:t>
      </w:r>
      <w:r w:rsidR="003B0020">
        <w:t>a possible</w:t>
      </w:r>
      <w:r w:rsidR="003B0020" w:rsidRPr="00D92194">
        <w:t xml:space="preserve"> </w:t>
      </w:r>
      <w:r w:rsidRPr="00D92194">
        <w:t>existence of such a link</w:t>
      </w:r>
      <w:r w:rsidR="003B0020">
        <w:t xml:space="preserve"> which could be </w:t>
      </w:r>
      <w:r w:rsidR="00D733EA">
        <w:t xml:space="preserve">viewed as </w:t>
      </w:r>
      <w:r w:rsidRPr="00D92194">
        <w:t>an important step toward</w:t>
      </w:r>
      <w:r w:rsidR="003735D0">
        <w:t>s</w:t>
      </w:r>
      <w:r w:rsidRPr="00D92194">
        <w:t xml:space="preserve"> clarifying it. Gaining deeper insight into this connection may contribute to a more integrated understanding of both phenomena, particularly </w:t>
      </w:r>
      <w:proofErr w:type="spellStart"/>
      <w:r w:rsidRPr="00D92194">
        <w:t>SoA</w:t>
      </w:r>
      <w:proofErr w:type="spellEnd"/>
      <w:r w:rsidRPr="00D92194">
        <w:t xml:space="preserve">, which remains relatively </w:t>
      </w:r>
      <w:r w:rsidR="005779EB" w:rsidRPr="00D92194">
        <w:t>underexplored</w:t>
      </w:r>
      <w:r w:rsidR="005779EB">
        <w:t>.</w:t>
      </w:r>
    </w:p>
    <w:p w14:paraId="37B61DF2" w14:textId="6F98DBCA" w:rsidR="00E003EC" w:rsidRPr="00D92194" w:rsidRDefault="00E003EC" w:rsidP="002F43F2">
      <w:pPr>
        <w:pStyle w:val="Para"/>
      </w:pPr>
      <w:r w:rsidRPr="00D92194">
        <w:t xml:space="preserve">Naturally, this study has its limitations. We did not include explicit or implicit </w:t>
      </w:r>
      <w:proofErr w:type="spellStart"/>
      <w:r w:rsidRPr="00D92194">
        <w:t>SoA</w:t>
      </w:r>
      <w:proofErr w:type="spellEnd"/>
      <w:r w:rsidRPr="00D92194">
        <w:t xml:space="preserve"> measurement scales, a decision made to streamline the experimental procedure and reduce cognitive load for participants. Nonetheless, we believe</w:t>
      </w:r>
      <w:r w:rsidR="00087842">
        <w:t xml:space="preserve">, based on a body of previous research </w:t>
      </w:r>
      <w:r w:rsidR="0055353B" w:rsidRPr="00672ABE">
        <w:rPr>
          <w:lang w:eastAsia="it-IT"/>
        </w:rPr>
        <w:t>(Lavie, 2005)</w:t>
      </w:r>
      <w:r w:rsidR="0055353B">
        <w:rPr>
          <w:lang w:eastAsia="it-IT"/>
        </w:rPr>
        <w:t xml:space="preserve"> </w:t>
      </w:r>
      <w:r w:rsidR="00087842">
        <w:t>as well as research done in our lab (in preparation)</w:t>
      </w:r>
      <w:r w:rsidRPr="00D92194">
        <w:t xml:space="preserve"> </w:t>
      </w:r>
      <w:r w:rsidR="00087842">
        <w:t>that we can</w:t>
      </w:r>
      <w:r w:rsidRPr="00D92194">
        <w:t xml:space="preserve"> infer that </w:t>
      </w:r>
      <w:r w:rsidR="008216D3">
        <w:t>self-</w:t>
      </w:r>
      <w:r w:rsidRPr="00D92194">
        <w:t xml:space="preserve">agency was higher in conditions requiring participants to press a button to initiate gaze shifts. </w:t>
      </w:r>
      <w:r w:rsidR="006043B9">
        <w:t>Our next</w:t>
      </w:r>
      <w:r w:rsidRPr="00D92194">
        <w:t xml:space="preserve"> </w:t>
      </w:r>
      <w:r w:rsidR="006043B9">
        <w:t>experiments</w:t>
      </w:r>
      <w:r w:rsidR="006043B9" w:rsidRPr="00D92194">
        <w:t xml:space="preserve"> </w:t>
      </w:r>
      <w:r w:rsidRPr="00D92194">
        <w:t xml:space="preserve">will incorporate </w:t>
      </w:r>
      <w:proofErr w:type="spellStart"/>
      <w:r w:rsidRPr="00D92194">
        <w:t>SoA</w:t>
      </w:r>
      <w:proofErr w:type="spellEnd"/>
      <w:r w:rsidRPr="00D92194">
        <w:t xml:space="preserve"> measurement tools to test this assumption directly.</w:t>
      </w:r>
    </w:p>
    <w:p w14:paraId="60A7912C" w14:textId="210B37B3" w:rsidR="00E003EC" w:rsidRPr="00D92194" w:rsidRDefault="00E003EC" w:rsidP="002F43F2">
      <w:pPr>
        <w:pStyle w:val="Para"/>
      </w:pPr>
      <w:r w:rsidRPr="00D92194">
        <w:t>Additional limitations stem from the demands of the dual-task paradigm. The speed requirement, as well as the subtle color discrimination between the two target hues, likely contributed to task difficulty. To further improve participant experience</w:t>
      </w:r>
      <w:r w:rsidR="00BC4090">
        <w:t xml:space="preserve"> and make the task easier</w:t>
      </w:r>
      <w:r w:rsidRPr="00D92194">
        <w:t>, we are considering sequential training for each subtask</w:t>
      </w:r>
      <w:r w:rsidR="00246515">
        <w:t>, as well as to introduce discrimination between basic colors (e.g., green and blue)</w:t>
      </w:r>
    </w:p>
    <w:p w14:paraId="1F5AD6E6" w14:textId="58E6FA79" w:rsidR="009F42D0" w:rsidRPr="00D92194" w:rsidRDefault="00E003EC" w:rsidP="002F43F2">
      <w:pPr>
        <w:pStyle w:val="Para"/>
      </w:pPr>
      <w:r w:rsidRPr="00D92194">
        <w:t xml:space="preserve">Looking ahead, follow-up studies may incorporate more extended measures of </w:t>
      </w:r>
      <w:proofErr w:type="spellStart"/>
      <w:r w:rsidRPr="00D92194">
        <w:t>SoA</w:t>
      </w:r>
      <w:proofErr w:type="spellEnd"/>
      <w:r w:rsidRPr="00D92194">
        <w:t xml:space="preserve">, as well as a wider range of action modalities (e.g., full motor movements). This would allow for a more nuanced analysis of </w:t>
      </w:r>
      <w:proofErr w:type="spellStart"/>
      <w:r w:rsidRPr="00D92194">
        <w:t>SoA</w:t>
      </w:r>
      <w:proofErr w:type="spellEnd"/>
      <w:r w:rsidRPr="00D92194">
        <w:t xml:space="preserve"> and a clearer understanding of how it modulates </w:t>
      </w:r>
      <w:r w:rsidR="00E73234">
        <w:t>social attentional orienting</w:t>
      </w:r>
      <w:r w:rsidRPr="00D92194">
        <w:t>.</w:t>
      </w:r>
      <w:r w:rsidR="008F2E75" w:rsidRPr="00D92194">
        <w:t xml:space="preserve"> </w:t>
      </w:r>
    </w:p>
    <w:p w14:paraId="7AF30AF8" w14:textId="77777777" w:rsidR="00052C34" w:rsidRPr="00763D9D" w:rsidRDefault="00052C34" w:rsidP="00E73234">
      <w:pPr>
        <w:pStyle w:val="AckHead"/>
        <w:rPr>
          <w:lang w:val="bg-BG"/>
        </w:rPr>
      </w:pPr>
      <w:r w:rsidRPr="00586A35">
        <w:lastRenderedPageBreak/>
        <w:t>ACKNOWLEDGMENTS</w:t>
      </w:r>
    </w:p>
    <w:p w14:paraId="58F8CEFE" w14:textId="77777777" w:rsidR="00115341" w:rsidRPr="00C269FC" w:rsidRDefault="00115341" w:rsidP="00115341">
      <w:r>
        <w:t>We are grateful to Mihail Karagerov for help in data gathering.</w:t>
      </w:r>
    </w:p>
    <w:p w14:paraId="5C29CCB3" w14:textId="77777777" w:rsidR="00AA10C4" w:rsidRPr="00586A35" w:rsidRDefault="00AA10C4" w:rsidP="00DD476E">
      <w:pPr>
        <w:pStyle w:val="AckPara"/>
        <w:rPr>
          <w14:ligatures w14:val="standard"/>
        </w:rPr>
      </w:pPr>
    </w:p>
    <w:p w14:paraId="4A9ED47B" w14:textId="77777777" w:rsidR="0007392C" w:rsidRPr="00586A35" w:rsidRDefault="00AA5BF1" w:rsidP="00AA5BF1">
      <w:pPr>
        <w:pStyle w:val="ReferenceHead"/>
        <w:rPr>
          <w14:ligatures w14:val="standard"/>
        </w:rPr>
      </w:pPr>
      <w:r w:rsidRPr="00586A35">
        <w:rPr>
          <w14:ligatures w14:val="standard"/>
        </w:rPr>
        <w:t>REFERENCES</w:t>
      </w:r>
    </w:p>
    <w:p w14:paraId="43AB4FAC" w14:textId="77777777" w:rsidR="005C6913" w:rsidRPr="005C6913" w:rsidRDefault="005C6913" w:rsidP="006C48FC">
      <w:pPr>
        <w:pStyle w:val="Bibentry"/>
        <w:numPr>
          <w:ilvl w:val="0"/>
          <w:numId w:val="32"/>
        </w:numPr>
      </w:pPr>
      <w:bookmarkStart w:id="1" w:name="intm"/>
      <w:bookmarkEnd w:id="1"/>
      <w:proofErr w:type="spellStart"/>
      <w:r w:rsidRPr="005C6913">
        <w:t>Alwall</w:t>
      </w:r>
      <w:proofErr w:type="spellEnd"/>
      <w:r w:rsidRPr="005C6913">
        <w:t xml:space="preserve">, N., Johansson, D., &amp; Hansen, S. (2010). The gender difference in gaze-cueing: Associations with empathizing and systemizing. </w:t>
      </w:r>
      <w:r w:rsidRPr="005C6913">
        <w:rPr>
          <w:i/>
          <w:iCs/>
        </w:rPr>
        <w:t>Personality and Individual Differences</w:t>
      </w:r>
      <w:r w:rsidRPr="005C6913">
        <w:t xml:space="preserve">, </w:t>
      </w:r>
      <w:r w:rsidRPr="005C6913">
        <w:rPr>
          <w:i/>
          <w:iCs/>
        </w:rPr>
        <w:t>49</w:t>
      </w:r>
      <w:r w:rsidRPr="005C6913">
        <w:t xml:space="preserve">(7), 729–732. </w:t>
      </w:r>
      <w:hyperlink r:id="rId17" w:history="1">
        <w:r w:rsidRPr="005C6913">
          <w:rPr>
            <w:rStyle w:val="Hyperlink"/>
          </w:rPr>
          <w:t>https://doi.org/10.1016/j.paid.2010.06.016</w:t>
        </w:r>
      </w:hyperlink>
    </w:p>
    <w:p w14:paraId="1E1C54AD" w14:textId="77777777" w:rsidR="005C6913" w:rsidRPr="005C6913" w:rsidRDefault="005C6913" w:rsidP="006C48FC">
      <w:pPr>
        <w:pStyle w:val="Bibentry"/>
        <w:numPr>
          <w:ilvl w:val="0"/>
          <w:numId w:val="32"/>
        </w:numPr>
      </w:pPr>
      <w:r w:rsidRPr="005C6913">
        <w:t xml:space="preserve">Baron-Cohen, S. (1995). </w:t>
      </w:r>
      <w:proofErr w:type="spellStart"/>
      <w:r w:rsidRPr="005C6913">
        <w:rPr>
          <w:i/>
          <w:iCs/>
        </w:rPr>
        <w:t>Mindblindness</w:t>
      </w:r>
      <w:proofErr w:type="spellEnd"/>
      <w:r w:rsidRPr="005C6913">
        <w:rPr>
          <w:i/>
          <w:iCs/>
        </w:rPr>
        <w:t>: An Essay on Autism and Theory of Mind</w:t>
      </w:r>
      <w:r w:rsidRPr="005C6913">
        <w:t xml:space="preserve">. The MIT Press. </w:t>
      </w:r>
      <w:hyperlink r:id="rId18" w:history="1">
        <w:r w:rsidRPr="005C6913">
          <w:rPr>
            <w:rStyle w:val="Hyperlink"/>
          </w:rPr>
          <w:t>https://doi.org/10.7551/mitpress/4635.001.0001</w:t>
        </w:r>
      </w:hyperlink>
    </w:p>
    <w:p w14:paraId="3FE9267F" w14:textId="77777777" w:rsidR="005C6913" w:rsidRPr="005C6913" w:rsidRDefault="005C6913" w:rsidP="006C48FC">
      <w:pPr>
        <w:pStyle w:val="Bibentry"/>
        <w:numPr>
          <w:ilvl w:val="0"/>
          <w:numId w:val="32"/>
        </w:numPr>
      </w:pPr>
      <w:r w:rsidRPr="005C6913">
        <w:t xml:space="preserve">Bayless, S. J., Glover, M., Taylor, M. J., &amp; Itier, R. J. (2011). Is it in the eyes? Dissociating the role of emotion and perceptual features of emotionally expressive faces in modulating orienting to eye gaze. </w:t>
      </w:r>
      <w:r w:rsidRPr="005C6913">
        <w:rPr>
          <w:i/>
          <w:iCs/>
        </w:rPr>
        <w:t>Visual Cognition</w:t>
      </w:r>
      <w:r w:rsidRPr="005C6913">
        <w:t xml:space="preserve">, </w:t>
      </w:r>
      <w:r w:rsidRPr="005C6913">
        <w:rPr>
          <w:i/>
          <w:iCs/>
        </w:rPr>
        <w:t>19</w:t>
      </w:r>
      <w:r w:rsidRPr="005C6913">
        <w:t xml:space="preserve">(4), 483–510. </w:t>
      </w:r>
      <w:hyperlink r:id="rId19" w:history="1">
        <w:r w:rsidRPr="005C6913">
          <w:rPr>
            <w:rStyle w:val="Hyperlink"/>
          </w:rPr>
          <w:t>https://doi.org/10.1080/13506285.2011.552895</w:t>
        </w:r>
      </w:hyperlink>
    </w:p>
    <w:p w14:paraId="6E76B212" w14:textId="77777777" w:rsidR="005C6913" w:rsidRPr="005C6913" w:rsidRDefault="005C6913" w:rsidP="006C48FC">
      <w:pPr>
        <w:pStyle w:val="Bibentry"/>
        <w:numPr>
          <w:ilvl w:val="0"/>
          <w:numId w:val="32"/>
        </w:numPr>
      </w:pPr>
      <w:r w:rsidRPr="005C6913">
        <w:t xml:space="preserve">Bayliss, A., </w:t>
      </w:r>
      <w:proofErr w:type="spellStart"/>
      <w:r w:rsidRPr="005C6913">
        <w:t>Frischen</w:t>
      </w:r>
      <w:proofErr w:type="spellEnd"/>
      <w:r w:rsidRPr="005C6913">
        <w:t>, A., Fenske, M., &amp; Tipper, S. (2007). Affective evaluations of objects are influenced by observed gaze direction and emotional expression</w:t>
      </w:r>
      <w:r w:rsidRPr="005C6913">
        <w:rPr>
          <w:rFonts w:ascii="Segoe UI Symbol" w:hAnsi="Segoe UI Symbol" w:cs="Segoe UI Symbol"/>
        </w:rPr>
        <w:t>☆</w:t>
      </w:r>
      <w:r w:rsidRPr="005C6913">
        <w:t xml:space="preserve">. </w:t>
      </w:r>
      <w:r w:rsidRPr="005C6913">
        <w:rPr>
          <w:i/>
          <w:iCs/>
        </w:rPr>
        <w:t>Cognition</w:t>
      </w:r>
      <w:r w:rsidRPr="005C6913">
        <w:t xml:space="preserve">, </w:t>
      </w:r>
      <w:r w:rsidRPr="005C6913">
        <w:rPr>
          <w:i/>
          <w:iCs/>
        </w:rPr>
        <w:t>104</w:t>
      </w:r>
      <w:r w:rsidRPr="005C6913">
        <w:t xml:space="preserve">(3), 644–653. </w:t>
      </w:r>
      <w:hyperlink r:id="rId20" w:history="1">
        <w:r w:rsidRPr="005C6913">
          <w:rPr>
            <w:rStyle w:val="Hyperlink"/>
          </w:rPr>
          <w:t>https://doi.org/10.1016/j.cognition.2006.07.012</w:t>
        </w:r>
      </w:hyperlink>
    </w:p>
    <w:p w14:paraId="5A9A57DF" w14:textId="77777777" w:rsidR="005C6913" w:rsidRPr="005C6913" w:rsidRDefault="005C6913" w:rsidP="006C48FC">
      <w:pPr>
        <w:pStyle w:val="Bibentry"/>
        <w:numPr>
          <w:ilvl w:val="0"/>
          <w:numId w:val="32"/>
        </w:numPr>
      </w:pPr>
      <w:r w:rsidRPr="005C6913">
        <w:t>Bayliss, A. P., Di Pellegrino, G., &amp; Tipper, S. P. (2004). Orienting of attention via observed eye gaze is head-</w:t>
      </w:r>
      <w:proofErr w:type="spellStart"/>
      <w:r w:rsidRPr="005C6913">
        <w:t>centred</w:t>
      </w:r>
      <w:proofErr w:type="spellEnd"/>
      <w:r w:rsidRPr="005C6913">
        <w:t xml:space="preserve">. </w:t>
      </w:r>
      <w:r w:rsidRPr="005C6913">
        <w:rPr>
          <w:i/>
          <w:iCs/>
        </w:rPr>
        <w:t>Cognition</w:t>
      </w:r>
      <w:r w:rsidRPr="005C6913">
        <w:t xml:space="preserve">, </w:t>
      </w:r>
      <w:r w:rsidRPr="005C6913">
        <w:rPr>
          <w:i/>
          <w:iCs/>
        </w:rPr>
        <w:t>94</w:t>
      </w:r>
      <w:r w:rsidRPr="005C6913">
        <w:t xml:space="preserve">(1), B1–B10. </w:t>
      </w:r>
      <w:hyperlink r:id="rId21" w:history="1">
        <w:r w:rsidRPr="005C6913">
          <w:rPr>
            <w:rStyle w:val="Hyperlink"/>
          </w:rPr>
          <w:t>https://doi.org/10.1016/j.cognition.2004.05.002</w:t>
        </w:r>
      </w:hyperlink>
    </w:p>
    <w:p w14:paraId="6E29DF40" w14:textId="77777777" w:rsidR="005C6913" w:rsidRPr="005C6913" w:rsidRDefault="005C6913" w:rsidP="006C48FC">
      <w:pPr>
        <w:pStyle w:val="Bibentry"/>
        <w:numPr>
          <w:ilvl w:val="0"/>
          <w:numId w:val="32"/>
        </w:numPr>
      </w:pPr>
      <w:r w:rsidRPr="005C6913">
        <w:t xml:space="preserve">Bayliss, A. P., Di Pellegrino, G., &amp; Tipper, S. P. (2005). Sex differences in eye gaze and symbolic cueing of attention. </w:t>
      </w:r>
      <w:r w:rsidRPr="005C6913">
        <w:rPr>
          <w:i/>
          <w:iCs/>
        </w:rPr>
        <w:t>The Quarterly Journal of Experimental Psychology Section A</w:t>
      </w:r>
      <w:r w:rsidRPr="005C6913">
        <w:t xml:space="preserve">, </w:t>
      </w:r>
      <w:r w:rsidRPr="005C6913">
        <w:rPr>
          <w:i/>
          <w:iCs/>
        </w:rPr>
        <w:t>58</w:t>
      </w:r>
      <w:r w:rsidRPr="005C6913">
        <w:t xml:space="preserve">(4), 631–650. </w:t>
      </w:r>
      <w:hyperlink r:id="rId22" w:history="1">
        <w:r w:rsidRPr="005C6913">
          <w:rPr>
            <w:rStyle w:val="Hyperlink"/>
          </w:rPr>
          <w:t>https://doi.org/10.1080/02724980443000124</w:t>
        </w:r>
      </w:hyperlink>
    </w:p>
    <w:p w14:paraId="576680E7" w14:textId="77777777" w:rsidR="005C6913" w:rsidRPr="005C6913" w:rsidRDefault="005C6913" w:rsidP="006C48FC">
      <w:pPr>
        <w:pStyle w:val="Bibentry"/>
        <w:numPr>
          <w:ilvl w:val="0"/>
          <w:numId w:val="32"/>
        </w:numPr>
      </w:pPr>
      <w:r w:rsidRPr="005C6913">
        <w:t xml:space="preserve">Bayliss, A. P., Schuch, S., &amp; Tipper, S. P. (2010). Gaze cueing elicited by emotional faces is influenced by affective context. </w:t>
      </w:r>
      <w:r w:rsidRPr="005C6913">
        <w:rPr>
          <w:i/>
          <w:iCs/>
        </w:rPr>
        <w:t>Visual Cognition</w:t>
      </w:r>
      <w:r w:rsidRPr="005C6913">
        <w:t xml:space="preserve">, </w:t>
      </w:r>
      <w:r w:rsidRPr="005C6913">
        <w:rPr>
          <w:i/>
          <w:iCs/>
        </w:rPr>
        <w:t>18</w:t>
      </w:r>
      <w:r w:rsidRPr="005C6913">
        <w:t xml:space="preserve">(8), 1214–1232. </w:t>
      </w:r>
      <w:hyperlink r:id="rId23" w:history="1">
        <w:r w:rsidRPr="005C6913">
          <w:rPr>
            <w:rStyle w:val="Hyperlink"/>
          </w:rPr>
          <w:t>https://doi.org/10.1080/13506285.2010.484657</w:t>
        </w:r>
      </w:hyperlink>
    </w:p>
    <w:p w14:paraId="126BF211" w14:textId="77777777" w:rsidR="005C6913" w:rsidRPr="005C6913" w:rsidRDefault="005C6913" w:rsidP="006C48FC">
      <w:pPr>
        <w:pStyle w:val="Bibentry"/>
        <w:numPr>
          <w:ilvl w:val="0"/>
          <w:numId w:val="32"/>
        </w:numPr>
      </w:pPr>
      <w:r w:rsidRPr="005C6913">
        <w:t xml:space="preserve">Bayliss, A. P., &amp; Tipper, S. P. (2006). Predictive Gaze Cues and Personality Judgments: Should Eye Trust You? </w:t>
      </w:r>
      <w:r w:rsidRPr="005C6913">
        <w:rPr>
          <w:i/>
          <w:iCs/>
        </w:rPr>
        <w:t>Psychological Science</w:t>
      </w:r>
      <w:r w:rsidRPr="005C6913">
        <w:t xml:space="preserve">, </w:t>
      </w:r>
      <w:r w:rsidRPr="005C6913">
        <w:rPr>
          <w:i/>
          <w:iCs/>
        </w:rPr>
        <w:t>17</w:t>
      </w:r>
      <w:r w:rsidRPr="005C6913">
        <w:t xml:space="preserve">(6), 514–520. </w:t>
      </w:r>
      <w:hyperlink r:id="rId24" w:history="1">
        <w:r w:rsidRPr="005C6913">
          <w:rPr>
            <w:rStyle w:val="Hyperlink"/>
          </w:rPr>
          <w:t>https://doi.org/10.1111/j.1467-9280.2006.01737.x</w:t>
        </w:r>
      </w:hyperlink>
    </w:p>
    <w:p w14:paraId="523228FA" w14:textId="77777777" w:rsidR="005C6913" w:rsidRPr="005C6913" w:rsidRDefault="005C6913" w:rsidP="006C48FC">
      <w:pPr>
        <w:pStyle w:val="Bibentry"/>
        <w:numPr>
          <w:ilvl w:val="0"/>
          <w:numId w:val="32"/>
        </w:numPr>
      </w:pPr>
      <w:r w:rsidRPr="005C6913">
        <w:t xml:space="preserve">Blakemore, S.-J., Wolpert, D. M., &amp; Frith, C. D. (1998). Central cancellation of self-produced tickle sensation. </w:t>
      </w:r>
      <w:r w:rsidRPr="005C6913">
        <w:rPr>
          <w:i/>
          <w:iCs/>
        </w:rPr>
        <w:t>Nature Neuroscience</w:t>
      </w:r>
      <w:r w:rsidRPr="005C6913">
        <w:t xml:space="preserve">, </w:t>
      </w:r>
      <w:r w:rsidRPr="005C6913">
        <w:rPr>
          <w:i/>
          <w:iCs/>
        </w:rPr>
        <w:t>1</w:t>
      </w:r>
      <w:r w:rsidRPr="005C6913">
        <w:t xml:space="preserve">(7), 635–640. </w:t>
      </w:r>
      <w:hyperlink r:id="rId25" w:history="1">
        <w:r w:rsidRPr="005C6913">
          <w:rPr>
            <w:rStyle w:val="Hyperlink"/>
          </w:rPr>
          <w:t>https://doi.org/10.1038/2870</w:t>
        </w:r>
      </w:hyperlink>
    </w:p>
    <w:p w14:paraId="695ADE80" w14:textId="77777777" w:rsidR="005C6913" w:rsidRPr="005C6913" w:rsidRDefault="005C6913" w:rsidP="006C48FC">
      <w:pPr>
        <w:pStyle w:val="Bibentry"/>
        <w:numPr>
          <w:ilvl w:val="0"/>
          <w:numId w:val="32"/>
        </w:numPr>
      </w:pPr>
      <w:r w:rsidRPr="005C6913">
        <w:t xml:space="preserve">Boll, S., Bartholomaeus, M., Peter, U., </w:t>
      </w:r>
      <w:proofErr w:type="spellStart"/>
      <w:r w:rsidRPr="005C6913">
        <w:t>Lupke</w:t>
      </w:r>
      <w:proofErr w:type="spellEnd"/>
      <w:r w:rsidRPr="005C6913">
        <w:t xml:space="preserve">, U., &amp; Gamer, M. (2016). Attentional mechanisms of social perception are biased in social phobia. </w:t>
      </w:r>
      <w:r w:rsidRPr="005C6913">
        <w:rPr>
          <w:i/>
          <w:iCs/>
        </w:rPr>
        <w:t>Journal of Anxiety Disorders</w:t>
      </w:r>
      <w:r w:rsidRPr="005C6913">
        <w:t xml:space="preserve">, </w:t>
      </w:r>
      <w:r w:rsidRPr="005C6913">
        <w:rPr>
          <w:i/>
          <w:iCs/>
        </w:rPr>
        <w:t>40</w:t>
      </w:r>
      <w:r w:rsidRPr="005C6913">
        <w:t xml:space="preserve">, 83–93. </w:t>
      </w:r>
      <w:hyperlink r:id="rId26" w:history="1">
        <w:r w:rsidRPr="005C6913">
          <w:rPr>
            <w:rStyle w:val="Hyperlink"/>
          </w:rPr>
          <w:t>https://doi.org/10.1016/j.janxdis.2016.04.004</w:t>
        </w:r>
      </w:hyperlink>
    </w:p>
    <w:p w14:paraId="5E16D2FA" w14:textId="77777777" w:rsidR="005C6913" w:rsidRPr="005C6913" w:rsidRDefault="005C6913" w:rsidP="006C48FC">
      <w:pPr>
        <w:pStyle w:val="Bibentry"/>
        <w:numPr>
          <w:ilvl w:val="0"/>
          <w:numId w:val="32"/>
        </w:numPr>
      </w:pPr>
      <w:r w:rsidRPr="005C6913">
        <w:t xml:space="preserve">Capellini, R., Riva, P., Ricciardelli, P., &amp; Sacchi, S. (2019). Turning Away </w:t>
      </w:r>
      <w:proofErr w:type="gramStart"/>
      <w:r w:rsidRPr="005C6913">
        <w:t>From</w:t>
      </w:r>
      <w:proofErr w:type="gramEnd"/>
      <w:r w:rsidRPr="005C6913">
        <w:t xml:space="preserve"> Averted Gazes: The Effect of Social Exclusion on Gaze Cueing. </w:t>
      </w:r>
      <w:r w:rsidRPr="005C6913">
        <w:rPr>
          <w:i/>
          <w:iCs/>
        </w:rPr>
        <w:t>Frontiers in Psychology</w:t>
      </w:r>
      <w:r w:rsidRPr="005C6913">
        <w:t xml:space="preserve">, </w:t>
      </w:r>
      <w:r w:rsidRPr="005C6913">
        <w:rPr>
          <w:i/>
          <w:iCs/>
        </w:rPr>
        <w:t>10</w:t>
      </w:r>
      <w:r w:rsidRPr="005C6913">
        <w:t xml:space="preserve">, 1000. </w:t>
      </w:r>
      <w:hyperlink r:id="rId27" w:history="1">
        <w:r w:rsidRPr="005C6913">
          <w:rPr>
            <w:rStyle w:val="Hyperlink"/>
          </w:rPr>
          <w:t>https://doi.org/10.3389/fpsyg.2019.01000</w:t>
        </w:r>
      </w:hyperlink>
    </w:p>
    <w:p w14:paraId="2CA8B20A" w14:textId="77777777" w:rsidR="005C6913" w:rsidRPr="005C6913" w:rsidRDefault="005C6913" w:rsidP="006C48FC">
      <w:pPr>
        <w:pStyle w:val="Bibentry"/>
        <w:numPr>
          <w:ilvl w:val="0"/>
          <w:numId w:val="32"/>
        </w:numPr>
      </w:pPr>
      <w:r w:rsidRPr="005C6913">
        <w:t xml:space="preserve">Carraro, L., Dalmaso, M., Castelli, L., &amp; Galfano, G. (2015). The politics of attention contextualized: Gaze but not arrow cuing of attention is moderated by political temperament. </w:t>
      </w:r>
      <w:r w:rsidRPr="005C6913">
        <w:rPr>
          <w:i/>
          <w:iCs/>
        </w:rPr>
        <w:t>Cognitive Processing</w:t>
      </w:r>
      <w:r w:rsidRPr="005C6913">
        <w:t xml:space="preserve">, </w:t>
      </w:r>
      <w:r w:rsidRPr="005C6913">
        <w:rPr>
          <w:i/>
          <w:iCs/>
        </w:rPr>
        <w:t>16</w:t>
      </w:r>
      <w:r w:rsidRPr="005C6913">
        <w:t xml:space="preserve">(3), 309–314. </w:t>
      </w:r>
      <w:hyperlink r:id="rId28" w:history="1">
        <w:r w:rsidRPr="005C6913">
          <w:rPr>
            <w:rStyle w:val="Hyperlink"/>
          </w:rPr>
          <w:t>https://doi.org/10.1007/s10339-015-0661-5</w:t>
        </w:r>
      </w:hyperlink>
    </w:p>
    <w:p w14:paraId="5EC2EEB7" w14:textId="77777777" w:rsidR="005C6913" w:rsidRPr="005C6913" w:rsidRDefault="005C6913" w:rsidP="006C48FC">
      <w:pPr>
        <w:pStyle w:val="Bibentry"/>
        <w:numPr>
          <w:ilvl w:val="0"/>
          <w:numId w:val="32"/>
        </w:numPr>
      </w:pPr>
      <w:proofErr w:type="spellStart"/>
      <w:r w:rsidRPr="005C6913">
        <w:t>Cazzato</w:t>
      </w:r>
      <w:proofErr w:type="spellEnd"/>
      <w:r w:rsidRPr="005C6913">
        <w:t xml:space="preserve">, V., Liuzza, M. T., Caprara, G. V., Macaluso, E., &amp; </w:t>
      </w:r>
      <w:proofErr w:type="spellStart"/>
      <w:r w:rsidRPr="005C6913">
        <w:t>Aglioti</w:t>
      </w:r>
      <w:proofErr w:type="spellEnd"/>
      <w:r w:rsidRPr="005C6913">
        <w:t xml:space="preserve">, S. M. (2015). The attracting power of the gaze of politicians is modulated by the personality and ideological attitude of their voters: A functional magnetic resonance imaging study. </w:t>
      </w:r>
      <w:r w:rsidRPr="005C6913">
        <w:rPr>
          <w:i/>
          <w:iCs/>
        </w:rPr>
        <w:t>European Journal of Neuroscience</w:t>
      </w:r>
      <w:r w:rsidRPr="005C6913">
        <w:t xml:space="preserve">, </w:t>
      </w:r>
      <w:r w:rsidRPr="005C6913">
        <w:rPr>
          <w:i/>
          <w:iCs/>
        </w:rPr>
        <w:t>42</w:t>
      </w:r>
      <w:r w:rsidRPr="005C6913">
        <w:t xml:space="preserve">(8), 2534–2545. </w:t>
      </w:r>
      <w:hyperlink r:id="rId29" w:history="1">
        <w:r w:rsidRPr="005C6913">
          <w:rPr>
            <w:rStyle w:val="Hyperlink"/>
          </w:rPr>
          <w:t>https://doi.org/10.1111/ejn.13038</w:t>
        </w:r>
      </w:hyperlink>
    </w:p>
    <w:p w14:paraId="774CCE73" w14:textId="77777777" w:rsidR="005C6913" w:rsidRPr="005C6913" w:rsidRDefault="005C6913" w:rsidP="006C48FC">
      <w:pPr>
        <w:pStyle w:val="Bibentry"/>
        <w:numPr>
          <w:ilvl w:val="0"/>
          <w:numId w:val="32"/>
        </w:numPr>
      </w:pPr>
      <w:r w:rsidRPr="005C6913">
        <w:t xml:space="preserve">Chauhan, V., Visconti Di Oleggio Castello, M., Soltani, A., &amp; </w:t>
      </w:r>
      <w:proofErr w:type="spellStart"/>
      <w:r w:rsidRPr="005C6913">
        <w:t>Gobbini</w:t>
      </w:r>
      <w:proofErr w:type="spellEnd"/>
      <w:r w:rsidRPr="005C6913">
        <w:t xml:space="preserve">, M. I. (2017). Social Saliency of the Cue Slows Attention Shifts. </w:t>
      </w:r>
      <w:r w:rsidRPr="005C6913">
        <w:rPr>
          <w:i/>
          <w:iCs/>
        </w:rPr>
        <w:t>Frontiers in Psychology</w:t>
      </w:r>
      <w:r w:rsidRPr="005C6913">
        <w:t xml:space="preserve">, </w:t>
      </w:r>
      <w:r w:rsidRPr="005C6913">
        <w:rPr>
          <w:i/>
          <w:iCs/>
        </w:rPr>
        <w:t>8</w:t>
      </w:r>
      <w:r w:rsidRPr="005C6913">
        <w:t xml:space="preserve">, 738. </w:t>
      </w:r>
      <w:hyperlink r:id="rId30" w:history="1">
        <w:r w:rsidRPr="005C6913">
          <w:rPr>
            <w:rStyle w:val="Hyperlink"/>
          </w:rPr>
          <w:t>https://doi.org/10.3389/fpsyg.2017.00738</w:t>
        </w:r>
      </w:hyperlink>
    </w:p>
    <w:p w14:paraId="5899082A" w14:textId="77777777" w:rsidR="005C6913" w:rsidRPr="005C6913" w:rsidRDefault="005C6913" w:rsidP="006C48FC">
      <w:pPr>
        <w:pStyle w:val="Bibentry"/>
        <w:numPr>
          <w:ilvl w:val="0"/>
          <w:numId w:val="32"/>
        </w:numPr>
      </w:pPr>
      <w:r w:rsidRPr="005C6913">
        <w:t xml:space="preserve">Chen, Y., Zhao, Y., Song, H., Guan, L., &amp; Wu, X. (2017). The neural basis of intergroup threat effect on social attention. </w:t>
      </w:r>
      <w:r w:rsidRPr="005C6913">
        <w:rPr>
          <w:i/>
          <w:iCs/>
        </w:rPr>
        <w:t>Scientific Reports</w:t>
      </w:r>
      <w:r w:rsidRPr="005C6913">
        <w:t xml:space="preserve">, </w:t>
      </w:r>
      <w:r w:rsidRPr="005C6913">
        <w:rPr>
          <w:i/>
          <w:iCs/>
        </w:rPr>
        <w:t>7</w:t>
      </w:r>
      <w:r w:rsidRPr="005C6913">
        <w:t xml:space="preserve">(1), 41062. </w:t>
      </w:r>
      <w:hyperlink r:id="rId31" w:history="1">
        <w:r w:rsidRPr="005C6913">
          <w:rPr>
            <w:rStyle w:val="Hyperlink"/>
          </w:rPr>
          <w:t>https://doi.org/10.1038/srep41062</w:t>
        </w:r>
      </w:hyperlink>
    </w:p>
    <w:p w14:paraId="01DB0CCD" w14:textId="77777777" w:rsidR="005C6913" w:rsidRPr="005C6913" w:rsidRDefault="005C6913" w:rsidP="006C48FC">
      <w:pPr>
        <w:pStyle w:val="Bibentry"/>
        <w:numPr>
          <w:ilvl w:val="0"/>
          <w:numId w:val="32"/>
        </w:numPr>
      </w:pPr>
      <w:r w:rsidRPr="005C6913">
        <w:t xml:space="preserve">Cooney, S. M., Brady, N., &amp; Ryan, K. (2017). Spatial orienting of attention to social cues is modulated by cue type and gender of viewer. </w:t>
      </w:r>
      <w:r w:rsidRPr="005C6913">
        <w:rPr>
          <w:i/>
          <w:iCs/>
        </w:rPr>
        <w:t>Experimental Brain Research</w:t>
      </w:r>
      <w:r w:rsidRPr="005C6913">
        <w:t xml:space="preserve">, </w:t>
      </w:r>
      <w:r w:rsidRPr="005C6913">
        <w:rPr>
          <w:i/>
          <w:iCs/>
        </w:rPr>
        <w:t>235</w:t>
      </w:r>
      <w:r w:rsidRPr="005C6913">
        <w:t xml:space="preserve">(5), 1481–1490. </w:t>
      </w:r>
      <w:hyperlink r:id="rId32" w:history="1">
        <w:r w:rsidRPr="005C6913">
          <w:rPr>
            <w:rStyle w:val="Hyperlink"/>
          </w:rPr>
          <w:t>https://doi.org/10.1007/s00221-017-4909-4</w:t>
        </w:r>
      </w:hyperlink>
    </w:p>
    <w:p w14:paraId="4B86CA45" w14:textId="77777777" w:rsidR="005C6913" w:rsidRPr="005C6913" w:rsidRDefault="005C6913" w:rsidP="006C48FC">
      <w:pPr>
        <w:pStyle w:val="Bibentry"/>
        <w:numPr>
          <w:ilvl w:val="0"/>
          <w:numId w:val="32"/>
        </w:numPr>
      </w:pPr>
      <w:r w:rsidRPr="005C6913">
        <w:t xml:space="preserve">Coy, A. L., Nelson, N. L., &amp; Mondloch, C. J. (2019). No experimental evidence for emotion-specific gaze cueing in a threat context. </w:t>
      </w:r>
      <w:r w:rsidRPr="005C6913">
        <w:rPr>
          <w:i/>
          <w:iCs/>
        </w:rPr>
        <w:t>Cognition and Emotion</w:t>
      </w:r>
      <w:r w:rsidRPr="005C6913">
        <w:t xml:space="preserve">, </w:t>
      </w:r>
      <w:r w:rsidRPr="005C6913">
        <w:rPr>
          <w:i/>
          <w:iCs/>
        </w:rPr>
        <w:t>33</w:t>
      </w:r>
      <w:r w:rsidRPr="005C6913">
        <w:t xml:space="preserve">(6), 1144–1154. </w:t>
      </w:r>
      <w:hyperlink r:id="rId33" w:history="1">
        <w:r w:rsidRPr="005C6913">
          <w:rPr>
            <w:rStyle w:val="Hyperlink"/>
          </w:rPr>
          <w:t>https://doi.org/10.1080/02699931.2018.1554554</w:t>
        </w:r>
      </w:hyperlink>
    </w:p>
    <w:p w14:paraId="0D0AA2F2" w14:textId="77777777" w:rsidR="005C6913" w:rsidRPr="005C6913" w:rsidRDefault="005C6913" w:rsidP="006C48FC">
      <w:pPr>
        <w:pStyle w:val="Bibentry"/>
        <w:numPr>
          <w:ilvl w:val="0"/>
          <w:numId w:val="32"/>
        </w:numPr>
      </w:pPr>
      <w:r w:rsidRPr="005C6913">
        <w:t xml:space="preserve">Cui, G., Zhang, S., &amp; Geng, H. (2014). The Impact of Perceived Social Power and Dangerous Context on Social Attention. </w:t>
      </w:r>
      <w:proofErr w:type="spellStart"/>
      <w:r w:rsidRPr="005C6913">
        <w:rPr>
          <w:i/>
          <w:iCs/>
        </w:rPr>
        <w:t>PLoS</w:t>
      </w:r>
      <w:proofErr w:type="spellEnd"/>
      <w:r w:rsidRPr="005C6913">
        <w:rPr>
          <w:i/>
          <w:iCs/>
        </w:rPr>
        <w:t xml:space="preserve"> ONE</w:t>
      </w:r>
      <w:r w:rsidRPr="005C6913">
        <w:t xml:space="preserve">, </w:t>
      </w:r>
      <w:r w:rsidRPr="005C6913">
        <w:rPr>
          <w:i/>
          <w:iCs/>
        </w:rPr>
        <w:t>9</w:t>
      </w:r>
      <w:r w:rsidRPr="005C6913">
        <w:t xml:space="preserve">(12), e114077. </w:t>
      </w:r>
      <w:hyperlink r:id="rId34" w:history="1">
        <w:r w:rsidRPr="005C6913">
          <w:rPr>
            <w:rStyle w:val="Hyperlink"/>
          </w:rPr>
          <w:t>https://doi.org/10.1371/journal.pone.0114077</w:t>
        </w:r>
      </w:hyperlink>
    </w:p>
    <w:p w14:paraId="6C19DB47" w14:textId="77777777" w:rsidR="005C6913" w:rsidRPr="005C6913" w:rsidRDefault="005C6913" w:rsidP="006C48FC">
      <w:pPr>
        <w:pStyle w:val="Bibentry"/>
        <w:numPr>
          <w:ilvl w:val="0"/>
          <w:numId w:val="32"/>
        </w:numPr>
      </w:pPr>
      <w:r w:rsidRPr="005C6913">
        <w:t xml:space="preserve">Dalmaso, M., Castelli, L., &amp; Galfano, G. (2020a). Social modulators of gaze-mediated orienting of attention: A review. </w:t>
      </w:r>
      <w:r w:rsidRPr="005C6913">
        <w:rPr>
          <w:i/>
          <w:iCs/>
        </w:rPr>
        <w:t>Psychonomic Bulletin &amp; Review</w:t>
      </w:r>
      <w:r w:rsidRPr="005C6913">
        <w:t xml:space="preserve">, </w:t>
      </w:r>
      <w:r w:rsidRPr="005C6913">
        <w:rPr>
          <w:i/>
          <w:iCs/>
        </w:rPr>
        <w:t>27</w:t>
      </w:r>
      <w:r w:rsidRPr="005C6913">
        <w:t xml:space="preserve">(5), 833–855. </w:t>
      </w:r>
      <w:hyperlink r:id="rId35" w:history="1">
        <w:r w:rsidRPr="005C6913">
          <w:rPr>
            <w:rStyle w:val="Hyperlink"/>
          </w:rPr>
          <w:t>https://doi.org/10.3758/s13423-020-01730-x</w:t>
        </w:r>
      </w:hyperlink>
    </w:p>
    <w:p w14:paraId="36FE29EE" w14:textId="77777777" w:rsidR="005C6913" w:rsidRPr="005C6913" w:rsidRDefault="005C6913" w:rsidP="006C48FC">
      <w:pPr>
        <w:pStyle w:val="Bibentry"/>
        <w:numPr>
          <w:ilvl w:val="0"/>
          <w:numId w:val="32"/>
        </w:numPr>
      </w:pPr>
      <w:r w:rsidRPr="005C6913">
        <w:t xml:space="preserve">Dalmaso, M., Castelli, L., &amp; Galfano, G. (2020b). Social modulators of gaze-mediated orienting of attention: A review. </w:t>
      </w:r>
      <w:r w:rsidRPr="005C6913">
        <w:rPr>
          <w:i/>
          <w:iCs/>
        </w:rPr>
        <w:t>Psychonomic Bulletin &amp; Review</w:t>
      </w:r>
      <w:r w:rsidRPr="005C6913">
        <w:t xml:space="preserve">, </w:t>
      </w:r>
      <w:r w:rsidRPr="005C6913">
        <w:rPr>
          <w:i/>
          <w:iCs/>
        </w:rPr>
        <w:t>27</w:t>
      </w:r>
      <w:r w:rsidRPr="005C6913">
        <w:t xml:space="preserve">(5), 833–855. </w:t>
      </w:r>
      <w:hyperlink r:id="rId36" w:history="1">
        <w:r w:rsidRPr="005C6913">
          <w:rPr>
            <w:rStyle w:val="Hyperlink"/>
          </w:rPr>
          <w:t>https://doi.org/10.3758/s13423-020-01730-x</w:t>
        </w:r>
      </w:hyperlink>
    </w:p>
    <w:p w14:paraId="4F9B621B" w14:textId="77777777" w:rsidR="005C6913" w:rsidRPr="005C6913" w:rsidRDefault="005C6913" w:rsidP="006C48FC">
      <w:pPr>
        <w:pStyle w:val="Bibentry"/>
        <w:numPr>
          <w:ilvl w:val="0"/>
          <w:numId w:val="32"/>
        </w:numPr>
      </w:pPr>
      <w:r w:rsidRPr="005C6913">
        <w:t xml:space="preserve">Dalmaso, M., Galfano, G., &amp; Castelli, L. (2015). The Impact of Same- and Other-Race Gaze Distractors on the Control of Saccadic Eye Movements. </w:t>
      </w:r>
      <w:r w:rsidRPr="005C6913">
        <w:rPr>
          <w:i/>
          <w:iCs/>
        </w:rPr>
        <w:t>Perception</w:t>
      </w:r>
      <w:r w:rsidRPr="005C6913">
        <w:t xml:space="preserve">, </w:t>
      </w:r>
      <w:r w:rsidRPr="005C6913">
        <w:rPr>
          <w:i/>
          <w:iCs/>
        </w:rPr>
        <w:t>44</w:t>
      </w:r>
      <w:r w:rsidRPr="005C6913">
        <w:t xml:space="preserve">(8–9), 1020–1028. </w:t>
      </w:r>
      <w:hyperlink r:id="rId37" w:history="1">
        <w:r w:rsidRPr="005C6913">
          <w:rPr>
            <w:rStyle w:val="Hyperlink"/>
          </w:rPr>
          <w:t>https://doi.org/10.1177/0301006615594936</w:t>
        </w:r>
      </w:hyperlink>
    </w:p>
    <w:p w14:paraId="170F8D10" w14:textId="77777777" w:rsidR="005C6913" w:rsidRPr="005C6913" w:rsidRDefault="005C6913" w:rsidP="006C48FC">
      <w:pPr>
        <w:pStyle w:val="Bibentry"/>
        <w:numPr>
          <w:ilvl w:val="0"/>
          <w:numId w:val="32"/>
        </w:numPr>
      </w:pPr>
      <w:r w:rsidRPr="005C6913">
        <w:t xml:space="preserve">Dalmaso, M., Pavan, G., Castelli, L., &amp; Galfano, G. (2012). Social status gates social attention in humans. </w:t>
      </w:r>
      <w:r w:rsidRPr="005C6913">
        <w:rPr>
          <w:i/>
          <w:iCs/>
        </w:rPr>
        <w:t>Biology Letters</w:t>
      </w:r>
      <w:r w:rsidRPr="005C6913">
        <w:t xml:space="preserve">, </w:t>
      </w:r>
      <w:r w:rsidRPr="005C6913">
        <w:rPr>
          <w:i/>
          <w:iCs/>
        </w:rPr>
        <w:t>8</w:t>
      </w:r>
      <w:r w:rsidRPr="005C6913">
        <w:t xml:space="preserve">(3), 450–452. </w:t>
      </w:r>
      <w:hyperlink r:id="rId38" w:history="1">
        <w:r w:rsidRPr="005C6913">
          <w:rPr>
            <w:rStyle w:val="Hyperlink"/>
          </w:rPr>
          <w:t>https://doi.org/10.1098/rsbl.2011.0881</w:t>
        </w:r>
      </w:hyperlink>
    </w:p>
    <w:p w14:paraId="4AA35DD4" w14:textId="77777777" w:rsidR="005C6913" w:rsidRPr="005C6913" w:rsidRDefault="005C6913" w:rsidP="006C48FC">
      <w:pPr>
        <w:pStyle w:val="Bibentry"/>
        <w:numPr>
          <w:ilvl w:val="0"/>
          <w:numId w:val="32"/>
        </w:numPr>
      </w:pPr>
      <w:r w:rsidRPr="005C6913">
        <w:t xml:space="preserve">Deaner, R. O., Shepherd, S. V., &amp; Platt, M. L. (2007). Familiarity accentuates gaze cuing in women but not men. </w:t>
      </w:r>
      <w:r w:rsidRPr="005C6913">
        <w:rPr>
          <w:i/>
          <w:iCs/>
        </w:rPr>
        <w:t>Biology Letters</w:t>
      </w:r>
      <w:r w:rsidRPr="005C6913">
        <w:t xml:space="preserve">, </w:t>
      </w:r>
      <w:r w:rsidRPr="005C6913">
        <w:rPr>
          <w:i/>
          <w:iCs/>
        </w:rPr>
        <w:t>3</w:t>
      </w:r>
      <w:r w:rsidRPr="005C6913">
        <w:t xml:space="preserve">(1), 65–68. </w:t>
      </w:r>
      <w:hyperlink r:id="rId39" w:history="1">
        <w:r w:rsidRPr="005C6913">
          <w:rPr>
            <w:rStyle w:val="Hyperlink"/>
          </w:rPr>
          <w:t>https://doi.org/10.1098/rsbl.2006.0564</w:t>
        </w:r>
      </w:hyperlink>
    </w:p>
    <w:p w14:paraId="78535EA3" w14:textId="77777777" w:rsidR="005C6913" w:rsidRPr="005C6913" w:rsidRDefault="005C6913" w:rsidP="006C48FC">
      <w:pPr>
        <w:pStyle w:val="Bibentry"/>
        <w:numPr>
          <w:ilvl w:val="0"/>
          <w:numId w:val="32"/>
        </w:numPr>
      </w:pPr>
      <w:r w:rsidRPr="005C6913">
        <w:t xml:space="preserve">Dodd, M. D., Hibbing, J. R., &amp; Smith, K. B. (2011). The politics of attention: Gaze-cuing effects are moderated by political temperament. </w:t>
      </w:r>
      <w:r w:rsidRPr="005C6913">
        <w:rPr>
          <w:i/>
          <w:iCs/>
        </w:rPr>
        <w:t>Attention, Perception, &amp; Psychophysics</w:t>
      </w:r>
      <w:r w:rsidRPr="005C6913">
        <w:t xml:space="preserve">, </w:t>
      </w:r>
      <w:r w:rsidRPr="005C6913">
        <w:rPr>
          <w:i/>
          <w:iCs/>
        </w:rPr>
        <w:t>73</w:t>
      </w:r>
      <w:r w:rsidRPr="005C6913">
        <w:t xml:space="preserve">(1), 24–29. </w:t>
      </w:r>
      <w:hyperlink r:id="rId40" w:history="1">
        <w:r w:rsidRPr="005C6913">
          <w:rPr>
            <w:rStyle w:val="Hyperlink"/>
          </w:rPr>
          <w:t>https://doi.org/10.3758/s13414-010-0001-x</w:t>
        </w:r>
      </w:hyperlink>
    </w:p>
    <w:p w14:paraId="31627E24" w14:textId="77777777" w:rsidR="005C6913" w:rsidRPr="005C6913" w:rsidRDefault="005C6913" w:rsidP="006C48FC">
      <w:pPr>
        <w:pStyle w:val="Bibentry"/>
        <w:numPr>
          <w:ilvl w:val="0"/>
          <w:numId w:val="32"/>
        </w:numPr>
      </w:pPr>
      <w:r w:rsidRPr="005C6913">
        <w:t xml:space="preserve">Driver, J., Davis, G., Ricciardelli, P., Kidd, P., Maxwell, E., &amp; Baron-Cohen, S. (1999). Gaze Perception Triggers Reflexive Visuospatial Orienting. </w:t>
      </w:r>
      <w:r w:rsidRPr="005C6913">
        <w:rPr>
          <w:i/>
          <w:iCs/>
        </w:rPr>
        <w:t>Visual Cognition</w:t>
      </w:r>
      <w:r w:rsidRPr="005C6913">
        <w:t xml:space="preserve">, </w:t>
      </w:r>
      <w:r w:rsidRPr="005C6913">
        <w:rPr>
          <w:i/>
          <w:iCs/>
        </w:rPr>
        <w:t>6</w:t>
      </w:r>
      <w:r w:rsidRPr="005C6913">
        <w:t xml:space="preserve">(5), 509–540. </w:t>
      </w:r>
      <w:hyperlink r:id="rId41" w:history="1">
        <w:r w:rsidRPr="005C6913">
          <w:rPr>
            <w:rStyle w:val="Hyperlink"/>
          </w:rPr>
          <w:t>https://doi.org/10.1080/135062899394920</w:t>
        </w:r>
      </w:hyperlink>
    </w:p>
    <w:p w14:paraId="2A8DE659" w14:textId="77777777" w:rsidR="005C6913" w:rsidRPr="005C6913" w:rsidRDefault="005C6913" w:rsidP="006C48FC">
      <w:pPr>
        <w:pStyle w:val="Bibentry"/>
        <w:numPr>
          <w:ilvl w:val="0"/>
          <w:numId w:val="32"/>
        </w:numPr>
      </w:pPr>
      <w:r w:rsidRPr="005C6913">
        <w:t xml:space="preserve">Emery, N. J. (2000). The eyes have it: The neuroethology, function and evolution of social gaze. </w:t>
      </w:r>
      <w:r w:rsidRPr="005C6913">
        <w:rPr>
          <w:i/>
          <w:iCs/>
        </w:rPr>
        <w:t>Neuroscience &amp; Biobehavioral Reviews</w:t>
      </w:r>
      <w:r w:rsidRPr="005C6913">
        <w:t xml:space="preserve">, </w:t>
      </w:r>
      <w:r w:rsidRPr="005C6913">
        <w:rPr>
          <w:i/>
          <w:iCs/>
        </w:rPr>
        <w:t>24</w:t>
      </w:r>
      <w:r w:rsidRPr="005C6913">
        <w:t xml:space="preserve">(6), 581–604. </w:t>
      </w:r>
      <w:hyperlink r:id="rId42" w:history="1">
        <w:r w:rsidRPr="005C6913">
          <w:rPr>
            <w:rStyle w:val="Hyperlink"/>
          </w:rPr>
          <w:t>https://doi.org/10.1016/S0149-7634(00)00025-7</w:t>
        </w:r>
      </w:hyperlink>
    </w:p>
    <w:p w14:paraId="20CAB1CF" w14:textId="77777777" w:rsidR="005C6913" w:rsidRPr="005C6913" w:rsidRDefault="005C6913" w:rsidP="006C48FC">
      <w:pPr>
        <w:pStyle w:val="Bibentry"/>
        <w:numPr>
          <w:ilvl w:val="0"/>
          <w:numId w:val="32"/>
        </w:numPr>
      </w:pPr>
      <w:proofErr w:type="spellStart"/>
      <w:r w:rsidRPr="005C6913">
        <w:rPr>
          <w:i/>
          <w:iCs/>
        </w:rPr>
        <w:t>FaceGen</w:t>
      </w:r>
      <w:proofErr w:type="spellEnd"/>
      <w:r w:rsidRPr="005C6913">
        <w:t>. (n.d.). [Computer software].</w:t>
      </w:r>
    </w:p>
    <w:p w14:paraId="1B1424FF" w14:textId="77777777" w:rsidR="005C6913" w:rsidRPr="005C6913" w:rsidRDefault="005C6913" w:rsidP="006C48FC">
      <w:pPr>
        <w:pStyle w:val="Bibentry"/>
        <w:numPr>
          <w:ilvl w:val="0"/>
          <w:numId w:val="32"/>
        </w:numPr>
      </w:pPr>
      <w:r w:rsidRPr="005C6913">
        <w:rPr>
          <w:lang w:val="de-DE"/>
        </w:rPr>
        <w:t xml:space="preserve">Faul, F., Erdfelder, E., Lang, A.-G., &amp; Buchner, A. (2007). </w:t>
      </w:r>
      <w:r w:rsidRPr="005C6913">
        <w:t xml:space="preserve">G*Power 3: A flexible statistical power analysis program for the social, behavioral, and biomedical sciences. </w:t>
      </w:r>
      <w:r w:rsidRPr="005C6913">
        <w:rPr>
          <w:i/>
          <w:iCs/>
        </w:rPr>
        <w:t>Behavior Research Methods</w:t>
      </w:r>
      <w:r w:rsidRPr="005C6913">
        <w:t xml:space="preserve">, </w:t>
      </w:r>
      <w:r w:rsidRPr="005C6913">
        <w:rPr>
          <w:i/>
          <w:iCs/>
        </w:rPr>
        <w:t>39</w:t>
      </w:r>
      <w:r w:rsidRPr="005C6913">
        <w:t xml:space="preserve">(2), 175–191. </w:t>
      </w:r>
      <w:hyperlink r:id="rId43" w:history="1">
        <w:r w:rsidRPr="005C6913">
          <w:rPr>
            <w:rStyle w:val="Hyperlink"/>
          </w:rPr>
          <w:t>https://doi.org/10.3758/BF03193146</w:t>
        </w:r>
      </w:hyperlink>
    </w:p>
    <w:p w14:paraId="6EDC1975" w14:textId="77777777" w:rsidR="005C6913" w:rsidRPr="005C6913" w:rsidRDefault="005C6913" w:rsidP="006C48FC">
      <w:pPr>
        <w:pStyle w:val="Bibentry"/>
        <w:numPr>
          <w:ilvl w:val="0"/>
          <w:numId w:val="32"/>
        </w:numPr>
      </w:pPr>
      <w:r w:rsidRPr="005C6913">
        <w:t xml:space="preserve">Feng, Q., Zheng, Y., Zhang, X., Song, Y., Luo, Y., Li, Y., &amp; Talhelm, T. (2011). Gender differences in visual reflexive attention shifting: Evidence from an ERP study. </w:t>
      </w:r>
      <w:r w:rsidRPr="005C6913">
        <w:rPr>
          <w:i/>
          <w:iCs/>
        </w:rPr>
        <w:t>Brain Research</w:t>
      </w:r>
      <w:r w:rsidRPr="005C6913">
        <w:t xml:space="preserve">, </w:t>
      </w:r>
      <w:r w:rsidRPr="005C6913">
        <w:rPr>
          <w:i/>
          <w:iCs/>
        </w:rPr>
        <w:t>1401</w:t>
      </w:r>
      <w:r w:rsidRPr="005C6913">
        <w:t xml:space="preserve">, 59–65. </w:t>
      </w:r>
      <w:hyperlink r:id="rId44" w:history="1">
        <w:r w:rsidRPr="005C6913">
          <w:rPr>
            <w:rStyle w:val="Hyperlink"/>
          </w:rPr>
          <w:t>https://doi.org/10.1016/j.brainres.2011.05.041</w:t>
        </w:r>
      </w:hyperlink>
    </w:p>
    <w:p w14:paraId="0CC9A102" w14:textId="77777777" w:rsidR="005C6913" w:rsidRPr="005C6913" w:rsidRDefault="005C6913" w:rsidP="006C48FC">
      <w:pPr>
        <w:pStyle w:val="Bibentry"/>
        <w:numPr>
          <w:ilvl w:val="0"/>
          <w:numId w:val="32"/>
        </w:numPr>
      </w:pPr>
      <w:r w:rsidRPr="005C6913">
        <w:t xml:space="preserve">Fox, E., Mathews, A., Calder, A. J., &amp; </w:t>
      </w:r>
      <w:proofErr w:type="spellStart"/>
      <w:r w:rsidRPr="005C6913">
        <w:t>Yiend</w:t>
      </w:r>
      <w:proofErr w:type="spellEnd"/>
      <w:r w:rsidRPr="005C6913">
        <w:t xml:space="preserve">, J. (2007). Anxiety and sensitivity to gaze direction in emotionally expressive faces. </w:t>
      </w:r>
      <w:r w:rsidRPr="005C6913">
        <w:rPr>
          <w:i/>
          <w:iCs/>
        </w:rPr>
        <w:t>Emotion</w:t>
      </w:r>
      <w:r w:rsidRPr="005C6913">
        <w:t xml:space="preserve">, </w:t>
      </w:r>
      <w:r w:rsidRPr="005C6913">
        <w:rPr>
          <w:i/>
          <w:iCs/>
        </w:rPr>
        <w:t>7</w:t>
      </w:r>
      <w:r w:rsidRPr="005C6913">
        <w:t xml:space="preserve">(3), 478–486. </w:t>
      </w:r>
      <w:hyperlink r:id="rId45" w:history="1">
        <w:r w:rsidRPr="005C6913">
          <w:rPr>
            <w:rStyle w:val="Hyperlink"/>
          </w:rPr>
          <w:t>https://doi.org/10.1037/1528-3542.7.3.478</w:t>
        </w:r>
      </w:hyperlink>
    </w:p>
    <w:p w14:paraId="2E3274D0" w14:textId="77777777" w:rsidR="005C6913" w:rsidRPr="005C6913" w:rsidRDefault="005C6913" w:rsidP="006C48FC">
      <w:pPr>
        <w:pStyle w:val="Bibentry"/>
        <w:numPr>
          <w:ilvl w:val="0"/>
          <w:numId w:val="32"/>
        </w:numPr>
      </w:pPr>
      <w:r w:rsidRPr="005C6913">
        <w:t xml:space="preserve">Friesen, C. K., &amp; Kingstone, A. (1998). The eyes have it! Reflexive orienting is triggered by nonpredictive gaze. </w:t>
      </w:r>
      <w:r w:rsidRPr="005C6913">
        <w:rPr>
          <w:i/>
          <w:iCs/>
        </w:rPr>
        <w:t>Psychonomic Bulletin &amp; Review</w:t>
      </w:r>
      <w:r w:rsidRPr="005C6913">
        <w:t xml:space="preserve">, </w:t>
      </w:r>
      <w:r w:rsidRPr="005C6913">
        <w:rPr>
          <w:i/>
          <w:iCs/>
        </w:rPr>
        <w:t>5</w:t>
      </w:r>
      <w:r w:rsidRPr="005C6913">
        <w:t xml:space="preserve">(3), 490–495. </w:t>
      </w:r>
      <w:hyperlink r:id="rId46" w:history="1">
        <w:r w:rsidRPr="005C6913">
          <w:rPr>
            <w:rStyle w:val="Hyperlink"/>
          </w:rPr>
          <w:t>https://doi.org/10.3758/BF03208827</w:t>
        </w:r>
      </w:hyperlink>
    </w:p>
    <w:p w14:paraId="60B8140C" w14:textId="77777777" w:rsidR="005C6913" w:rsidRPr="005C6913" w:rsidRDefault="005C6913" w:rsidP="006C48FC">
      <w:pPr>
        <w:pStyle w:val="Bibentry"/>
        <w:numPr>
          <w:ilvl w:val="0"/>
          <w:numId w:val="32"/>
        </w:numPr>
      </w:pPr>
      <w:proofErr w:type="spellStart"/>
      <w:r w:rsidRPr="005C6913">
        <w:t>Frischen</w:t>
      </w:r>
      <w:proofErr w:type="spellEnd"/>
      <w:r w:rsidRPr="005C6913">
        <w:t xml:space="preserve">, A., &amp; Tipper, S. P. (2006). Long-term gaze cueing effects: Evidence for retrieval of prior states of attention from memory. </w:t>
      </w:r>
      <w:r w:rsidRPr="005C6913">
        <w:rPr>
          <w:i/>
          <w:iCs/>
        </w:rPr>
        <w:t>Visual Cognition</w:t>
      </w:r>
      <w:r w:rsidRPr="005C6913">
        <w:t xml:space="preserve">, </w:t>
      </w:r>
      <w:r w:rsidRPr="005C6913">
        <w:rPr>
          <w:i/>
          <w:iCs/>
        </w:rPr>
        <w:t>14</w:t>
      </w:r>
      <w:r w:rsidRPr="005C6913">
        <w:t xml:space="preserve">(3), 351–364. </w:t>
      </w:r>
      <w:hyperlink r:id="rId47" w:history="1">
        <w:r w:rsidRPr="005C6913">
          <w:rPr>
            <w:rStyle w:val="Hyperlink"/>
          </w:rPr>
          <w:t>https://doi.org/10.1080/13506280544000192</w:t>
        </w:r>
      </w:hyperlink>
    </w:p>
    <w:p w14:paraId="10E5EAF3" w14:textId="77777777" w:rsidR="005C6913" w:rsidRPr="005C6913" w:rsidRDefault="005C6913" w:rsidP="006C48FC">
      <w:pPr>
        <w:pStyle w:val="Bibentry"/>
        <w:numPr>
          <w:ilvl w:val="0"/>
          <w:numId w:val="32"/>
        </w:numPr>
      </w:pPr>
      <w:r w:rsidRPr="005C6913">
        <w:t xml:space="preserve">Friston, K. (2012). Prediction, perception and agency. </w:t>
      </w:r>
      <w:r w:rsidRPr="005C6913">
        <w:rPr>
          <w:i/>
          <w:iCs/>
        </w:rPr>
        <w:t>International Journal of Psychophysiology</w:t>
      </w:r>
      <w:r w:rsidRPr="005C6913">
        <w:t xml:space="preserve">, </w:t>
      </w:r>
      <w:r w:rsidRPr="005C6913">
        <w:rPr>
          <w:i/>
          <w:iCs/>
        </w:rPr>
        <w:t>83</w:t>
      </w:r>
      <w:r w:rsidRPr="005C6913">
        <w:t xml:space="preserve">(2), 248–252. </w:t>
      </w:r>
      <w:hyperlink r:id="rId48" w:history="1">
        <w:r w:rsidRPr="005C6913">
          <w:rPr>
            <w:rStyle w:val="Hyperlink"/>
          </w:rPr>
          <w:t>https://doi.org/10.1016/j.ijpsycho.2011.11.014</w:t>
        </w:r>
      </w:hyperlink>
    </w:p>
    <w:p w14:paraId="5F7336E8" w14:textId="77777777" w:rsidR="005C6913" w:rsidRPr="005C6913" w:rsidRDefault="005C6913" w:rsidP="006C48FC">
      <w:pPr>
        <w:pStyle w:val="Bibentry"/>
        <w:numPr>
          <w:ilvl w:val="0"/>
          <w:numId w:val="32"/>
        </w:numPr>
      </w:pPr>
      <w:r w:rsidRPr="005C6913">
        <w:t xml:space="preserve">Gallagher, S. (2000). Philosophical conceptions of the self: Implications for cognitive science. </w:t>
      </w:r>
      <w:r w:rsidRPr="005C6913">
        <w:rPr>
          <w:i/>
          <w:iCs/>
        </w:rPr>
        <w:t>Trends in Cognitive Sciences</w:t>
      </w:r>
      <w:r w:rsidRPr="005C6913">
        <w:t xml:space="preserve">, </w:t>
      </w:r>
      <w:r w:rsidRPr="005C6913">
        <w:rPr>
          <w:i/>
          <w:iCs/>
        </w:rPr>
        <w:t>4</w:t>
      </w:r>
      <w:r w:rsidRPr="005C6913">
        <w:t>(1), 14–21.</w:t>
      </w:r>
    </w:p>
    <w:p w14:paraId="620E38D2" w14:textId="77777777" w:rsidR="005C6913" w:rsidRPr="005C6913" w:rsidRDefault="005C6913" w:rsidP="006C48FC">
      <w:pPr>
        <w:pStyle w:val="Bibentry"/>
        <w:numPr>
          <w:ilvl w:val="0"/>
          <w:numId w:val="32"/>
        </w:numPr>
        <w:rPr>
          <w:lang w:val="de-DE"/>
        </w:rPr>
      </w:pPr>
      <w:r w:rsidRPr="005C6913">
        <w:rPr>
          <w:lang w:val="de-DE"/>
        </w:rPr>
        <w:t xml:space="preserve">Gutzeit, J., Weller, L., Muth, F., Kürten, J., &amp; </w:t>
      </w:r>
      <w:proofErr w:type="spellStart"/>
      <w:r w:rsidRPr="005C6913">
        <w:rPr>
          <w:lang w:val="de-DE"/>
        </w:rPr>
        <w:t>Huestegge</w:t>
      </w:r>
      <w:proofErr w:type="spellEnd"/>
      <w:r w:rsidRPr="005C6913">
        <w:rPr>
          <w:lang w:val="de-DE"/>
        </w:rPr>
        <w:t xml:space="preserve">, L. (2024). </w:t>
      </w:r>
      <w:r w:rsidRPr="005C6913">
        <w:t xml:space="preserve">Eye did this! Sense of agency in eye movements. </w:t>
      </w:r>
      <w:r w:rsidRPr="005C6913">
        <w:rPr>
          <w:i/>
          <w:iCs/>
        </w:rPr>
        <w:t xml:space="preserve">Acta </w:t>
      </w:r>
      <w:proofErr w:type="spellStart"/>
      <w:r w:rsidRPr="005C6913">
        <w:rPr>
          <w:i/>
          <w:iCs/>
        </w:rPr>
        <w:t>Psychologica</w:t>
      </w:r>
      <w:proofErr w:type="spellEnd"/>
      <w:r w:rsidRPr="005C6913">
        <w:t xml:space="preserve">, </w:t>
      </w:r>
      <w:r w:rsidRPr="005C6913">
        <w:rPr>
          <w:i/>
          <w:iCs/>
        </w:rPr>
        <w:t>243</w:t>
      </w:r>
      <w:r w:rsidRPr="005C6913">
        <w:t xml:space="preserve">, 104121. </w:t>
      </w:r>
      <w:hyperlink r:id="rId49" w:history="1">
        <w:r w:rsidRPr="005C6913">
          <w:rPr>
            <w:rStyle w:val="Hyperlink"/>
            <w:lang w:val="de-DE"/>
          </w:rPr>
          <w:t>https://doi.org/10.1016/j.actpsy.2023.104121</w:t>
        </w:r>
      </w:hyperlink>
    </w:p>
    <w:p w14:paraId="56A6C89F" w14:textId="77777777" w:rsidR="005C6913" w:rsidRPr="005C6913" w:rsidRDefault="005C6913" w:rsidP="006C48FC">
      <w:pPr>
        <w:pStyle w:val="Bibentry"/>
        <w:numPr>
          <w:ilvl w:val="0"/>
          <w:numId w:val="32"/>
        </w:numPr>
      </w:pPr>
      <w:r w:rsidRPr="005C6913">
        <w:rPr>
          <w:lang w:val="de-DE"/>
        </w:rPr>
        <w:t xml:space="preserve">Haggard, P., Clark, S., &amp; </w:t>
      </w:r>
      <w:proofErr w:type="spellStart"/>
      <w:r w:rsidRPr="005C6913">
        <w:rPr>
          <w:lang w:val="de-DE"/>
        </w:rPr>
        <w:t>Kalogeras</w:t>
      </w:r>
      <w:proofErr w:type="spellEnd"/>
      <w:r w:rsidRPr="005C6913">
        <w:rPr>
          <w:lang w:val="de-DE"/>
        </w:rPr>
        <w:t xml:space="preserve">, J. (2002). </w:t>
      </w:r>
      <w:r w:rsidRPr="005C6913">
        <w:t xml:space="preserve">Voluntary action and conscious awareness. </w:t>
      </w:r>
      <w:r w:rsidRPr="005C6913">
        <w:rPr>
          <w:i/>
          <w:iCs/>
        </w:rPr>
        <w:t>Nature Neuroscience</w:t>
      </w:r>
      <w:r w:rsidRPr="005C6913">
        <w:t xml:space="preserve">, </w:t>
      </w:r>
      <w:r w:rsidRPr="005C6913">
        <w:rPr>
          <w:i/>
          <w:iCs/>
        </w:rPr>
        <w:t>5</w:t>
      </w:r>
      <w:r w:rsidRPr="005C6913">
        <w:t xml:space="preserve">(4), 382–385. </w:t>
      </w:r>
      <w:hyperlink r:id="rId50" w:history="1">
        <w:r w:rsidRPr="005C6913">
          <w:rPr>
            <w:rStyle w:val="Hyperlink"/>
          </w:rPr>
          <w:t>https://doi.org/10.1038/nn827</w:t>
        </w:r>
      </w:hyperlink>
    </w:p>
    <w:p w14:paraId="576B7106" w14:textId="77777777" w:rsidR="005C6913" w:rsidRPr="005C6913" w:rsidRDefault="005C6913" w:rsidP="006C48FC">
      <w:pPr>
        <w:pStyle w:val="Bibentry"/>
        <w:numPr>
          <w:ilvl w:val="0"/>
          <w:numId w:val="32"/>
        </w:numPr>
      </w:pPr>
      <w:r w:rsidRPr="005C6913">
        <w:t xml:space="preserve">Haggard, P., &amp; Tsakiris, M. (2009). The Experience of Agency: Feelings, Judgments, and Responsibility. </w:t>
      </w:r>
      <w:r w:rsidRPr="005C6913">
        <w:rPr>
          <w:i/>
          <w:iCs/>
        </w:rPr>
        <w:t>Current Directions in Psychological Science</w:t>
      </w:r>
      <w:r w:rsidRPr="005C6913">
        <w:t xml:space="preserve">, </w:t>
      </w:r>
      <w:r w:rsidRPr="005C6913">
        <w:rPr>
          <w:i/>
          <w:iCs/>
        </w:rPr>
        <w:t>18</w:t>
      </w:r>
      <w:r w:rsidRPr="005C6913">
        <w:t xml:space="preserve">(4), 242–246. </w:t>
      </w:r>
      <w:hyperlink r:id="rId51" w:history="1">
        <w:r w:rsidRPr="005C6913">
          <w:rPr>
            <w:rStyle w:val="Hyperlink"/>
          </w:rPr>
          <w:t>https://doi.org/10.1111/j.1467-8721.2009.01644.x</w:t>
        </w:r>
      </w:hyperlink>
    </w:p>
    <w:p w14:paraId="4FDBD749" w14:textId="77777777" w:rsidR="005C6913" w:rsidRPr="005C6913" w:rsidRDefault="005C6913" w:rsidP="006C48FC">
      <w:pPr>
        <w:pStyle w:val="Bibentry"/>
        <w:numPr>
          <w:ilvl w:val="0"/>
          <w:numId w:val="32"/>
        </w:numPr>
      </w:pPr>
      <w:r w:rsidRPr="005C6913">
        <w:lastRenderedPageBreak/>
        <w:t xml:space="preserve">Hayward, D. A., &amp; Ristic, J. (2017). Feature and motion-based gaze cuing is linked with reduced social competence. </w:t>
      </w:r>
      <w:r w:rsidRPr="005C6913">
        <w:rPr>
          <w:i/>
          <w:iCs/>
        </w:rPr>
        <w:t>Scientific Reports</w:t>
      </w:r>
      <w:r w:rsidRPr="005C6913">
        <w:t xml:space="preserve">, </w:t>
      </w:r>
      <w:r w:rsidRPr="005C6913">
        <w:rPr>
          <w:i/>
          <w:iCs/>
        </w:rPr>
        <w:t>7</w:t>
      </w:r>
      <w:r w:rsidRPr="005C6913">
        <w:t xml:space="preserve">(1), 44221. </w:t>
      </w:r>
      <w:hyperlink r:id="rId52" w:history="1">
        <w:r w:rsidRPr="005C6913">
          <w:rPr>
            <w:rStyle w:val="Hyperlink"/>
          </w:rPr>
          <w:t>https://doi.org/10.1038/srep44221</w:t>
        </w:r>
      </w:hyperlink>
    </w:p>
    <w:p w14:paraId="3FDED8C5" w14:textId="77777777" w:rsidR="005C6913" w:rsidRPr="005C6913" w:rsidRDefault="005C6913" w:rsidP="006C48FC">
      <w:pPr>
        <w:pStyle w:val="Bibentry"/>
        <w:numPr>
          <w:ilvl w:val="0"/>
          <w:numId w:val="32"/>
        </w:numPr>
      </w:pPr>
      <w:r w:rsidRPr="005C6913">
        <w:t xml:space="preserve">Hietanen, J. K. (1999). Does your gaze direction and head orientation shift my visual </w:t>
      </w:r>
      <w:proofErr w:type="gramStart"/>
      <w:r w:rsidRPr="005C6913">
        <w:t>attention?:</w:t>
      </w:r>
      <w:proofErr w:type="gramEnd"/>
      <w:r w:rsidRPr="005C6913">
        <w:t xml:space="preserve"> </w:t>
      </w:r>
      <w:proofErr w:type="spellStart"/>
      <w:r w:rsidRPr="005C6913">
        <w:rPr>
          <w:i/>
          <w:iCs/>
        </w:rPr>
        <w:t>NeuroReport</w:t>
      </w:r>
      <w:proofErr w:type="spellEnd"/>
      <w:r w:rsidRPr="005C6913">
        <w:t xml:space="preserve">, </w:t>
      </w:r>
      <w:r w:rsidRPr="005C6913">
        <w:rPr>
          <w:i/>
          <w:iCs/>
        </w:rPr>
        <w:t>10</w:t>
      </w:r>
      <w:r w:rsidRPr="005C6913">
        <w:t xml:space="preserve">(16), 3443–3447. </w:t>
      </w:r>
      <w:hyperlink r:id="rId53" w:history="1">
        <w:r w:rsidRPr="005C6913">
          <w:rPr>
            <w:rStyle w:val="Hyperlink"/>
          </w:rPr>
          <w:t>https://doi.org/10.1097/00001756-199911080-00033</w:t>
        </w:r>
      </w:hyperlink>
    </w:p>
    <w:p w14:paraId="632EE1D2" w14:textId="77777777" w:rsidR="005C6913" w:rsidRPr="005C6913" w:rsidRDefault="005C6913" w:rsidP="006C48FC">
      <w:pPr>
        <w:pStyle w:val="Bibentry"/>
        <w:numPr>
          <w:ilvl w:val="0"/>
          <w:numId w:val="32"/>
        </w:numPr>
      </w:pPr>
      <w:r w:rsidRPr="005C6913">
        <w:t xml:space="preserve">Hietanen, J. K., &amp; Leppänen, J. M. (2003a). Does Facial Expression Affect Attention Orienting by Gaze Direction Cues? </w:t>
      </w:r>
      <w:r w:rsidRPr="005C6913">
        <w:rPr>
          <w:i/>
          <w:iCs/>
        </w:rPr>
        <w:t>Journal of Experimental Psychology: Human Perception and Performance</w:t>
      </w:r>
      <w:r w:rsidRPr="005C6913">
        <w:t xml:space="preserve">, </w:t>
      </w:r>
      <w:r w:rsidRPr="005C6913">
        <w:rPr>
          <w:i/>
          <w:iCs/>
        </w:rPr>
        <w:t>29</w:t>
      </w:r>
      <w:r w:rsidRPr="005C6913">
        <w:t xml:space="preserve">(6), 1228–1243. </w:t>
      </w:r>
      <w:hyperlink r:id="rId54" w:history="1">
        <w:r w:rsidRPr="005C6913">
          <w:rPr>
            <w:rStyle w:val="Hyperlink"/>
          </w:rPr>
          <w:t>https://doi.org/10.1037/0096-1523.29.6.1228</w:t>
        </w:r>
      </w:hyperlink>
    </w:p>
    <w:p w14:paraId="189A107B" w14:textId="77777777" w:rsidR="005C6913" w:rsidRPr="005C6913" w:rsidRDefault="005C6913" w:rsidP="006C48FC">
      <w:pPr>
        <w:pStyle w:val="Bibentry"/>
        <w:numPr>
          <w:ilvl w:val="0"/>
          <w:numId w:val="32"/>
        </w:numPr>
      </w:pPr>
      <w:r w:rsidRPr="005C6913">
        <w:rPr>
          <w:lang w:val="de-DE"/>
        </w:rPr>
        <w:t xml:space="preserve">Hietanen, J. K., &amp; </w:t>
      </w:r>
      <w:proofErr w:type="spellStart"/>
      <w:r w:rsidRPr="005C6913">
        <w:rPr>
          <w:lang w:val="de-DE"/>
        </w:rPr>
        <w:t>Leppänen</w:t>
      </w:r>
      <w:proofErr w:type="spellEnd"/>
      <w:r w:rsidRPr="005C6913">
        <w:rPr>
          <w:lang w:val="de-DE"/>
        </w:rPr>
        <w:t xml:space="preserve">, J. M. (2003b). </w:t>
      </w:r>
      <w:r w:rsidRPr="005C6913">
        <w:t xml:space="preserve">Does Facial Expression Affect Attention Orienting by Gaze Direction Cues? </w:t>
      </w:r>
      <w:r w:rsidRPr="005C6913">
        <w:rPr>
          <w:i/>
          <w:iCs/>
        </w:rPr>
        <w:t>Journal of Experimental Psychology: Human Perception and Performance</w:t>
      </w:r>
      <w:r w:rsidRPr="005C6913">
        <w:t xml:space="preserve">, </w:t>
      </w:r>
      <w:r w:rsidRPr="005C6913">
        <w:rPr>
          <w:i/>
          <w:iCs/>
        </w:rPr>
        <w:t>29</w:t>
      </w:r>
      <w:r w:rsidRPr="005C6913">
        <w:t xml:space="preserve">(6), 1228–1243. </w:t>
      </w:r>
      <w:hyperlink r:id="rId55" w:history="1">
        <w:r w:rsidRPr="005C6913">
          <w:rPr>
            <w:rStyle w:val="Hyperlink"/>
          </w:rPr>
          <w:t>https://doi.org/10.1037/0096-1523.29.6.1228</w:t>
        </w:r>
      </w:hyperlink>
    </w:p>
    <w:p w14:paraId="6976F454" w14:textId="77777777" w:rsidR="005C6913" w:rsidRPr="005C6913" w:rsidRDefault="005C6913" w:rsidP="006C48FC">
      <w:pPr>
        <w:pStyle w:val="Bibentry"/>
        <w:numPr>
          <w:ilvl w:val="0"/>
          <w:numId w:val="32"/>
        </w:numPr>
      </w:pPr>
      <w:r w:rsidRPr="005C6913">
        <w:t xml:space="preserve">Holmes, A., Mogg, K., Garcia, L. M., &amp; Bradley, B. P. (2010). Neural activity associated with attention orienting triggered by gaze cues: A study of lateralized ERPs. </w:t>
      </w:r>
      <w:r w:rsidRPr="005C6913">
        <w:rPr>
          <w:i/>
          <w:iCs/>
        </w:rPr>
        <w:t>Social Neuroscience</w:t>
      </w:r>
      <w:r w:rsidRPr="005C6913">
        <w:t xml:space="preserve">, </w:t>
      </w:r>
      <w:r w:rsidRPr="005C6913">
        <w:rPr>
          <w:i/>
          <w:iCs/>
        </w:rPr>
        <w:t>5</w:t>
      </w:r>
      <w:r w:rsidRPr="005C6913">
        <w:t xml:space="preserve">(3), 285–295. </w:t>
      </w:r>
      <w:hyperlink r:id="rId56" w:history="1">
        <w:r w:rsidRPr="005C6913">
          <w:rPr>
            <w:rStyle w:val="Hyperlink"/>
          </w:rPr>
          <w:t>https://doi.org/10.1080/17470910903422819</w:t>
        </w:r>
      </w:hyperlink>
    </w:p>
    <w:p w14:paraId="13883CD2" w14:textId="77777777" w:rsidR="005C6913" w:rsidRPr="005C6913" w:rsidRDefault="005C6913" w:rsidP="006C48FC">
      <w:pPr>
        <w:pStyle w:val="Bibentry"/>
        <w:numPr>
          <w:ilvl w:val="0"/>
          <w:numId w:val="32"/>
        </w:numPr>
      </w:pPr>
      <w:r w:rsidRPr="005C6913">
        <w:t xml:space="preserve">Holmes, A., Richards, A., &amp; Green, S. (2006). Anxiety and sensitivity to eye gaze in emotional faces. </w:t>
      </w:r>
      <w:r w:rsidRPr="005C6913">
        <w:rPr>
          <w:i/>
          <w:iCs/>
        </w:rPr>
        <w:t>Brain and Cognition</w:t>
      </w:r>
      <w:r w:rsidRPr="005C6913">
        <w:t xml:space="preserve">, </w:t>
      </w:r>
      <w:r w:rsidRPr="005C6913">
        <w:rPr>
          <w:i/>
          <w:iCs/>
        </w:rPr>
        <w:t>60</w:t>
      </w:r>
      <w:r w:rsidRPr="005C6913">
        <w:t xml:space="preserve">(3), 282–294. </w:t>
      </w:r>
      <w:hyperlink r:id="rId57" w:history="1">
        <w:r w:rsidRPr="005C6913">
          <w:rPr>
            <w:rStyle w:val="Hyperlink"/>
          </w:rPr>
          <w:t>https://doi.org/10.1016/j.bandc.2005.05.002</w:t>
        </w:r>
      </w:hyperlink>
    </w:p>
    <w:p w14:paraId="6C91F2E4" w14:textId="77777777" w:rsidR="005C6913" w:rsidRPr="005C6913" w:rsidRDefault="005C6913" w:rsidP="006C48FC">
      <w:pPr>
        <w:pStyle w:val="Bibentry"/>
        <w:numPr>
          <w:ilvl w:val="0"/>
          <w:numId w:val="32"/>
        </w:numPr>
        <w:rPr>
          <w:lang w:val="de-DE"/>
        </w:rPr>
      </w:pPr>
      <w:r w:rsidRPr="005C6913">
        <w:t xml:space="preserve">Hori, E., </w:t>
      </w:r>
      <w:proofErr w:type="spellStart"/>
      <w:r w:rsidRPr="005C6913">
        <w:t>Tazumi</w:t>
      </w:r>
      <w:proofErr w:type="spellEnd"/>
      <w:r w:rsidRPr="005C6913">
        <w:t xml:space="preserve">, T., Umeno, K., </w:t>
      </w:r>
      <w:proofErr w:type="spellStart"/>
      <w:r w:rsidRPr="005C6913">
        <w:t>Kamachi</w:t>
      </w:r>
      <w:proofErr w:type="spellEnd"/>
      <w:r w:rsidRPr="005C6913">
        <w:t xml:space="preserve">, M., Kobayashi, T., Ono, T., &amp; </w:t>
      </w:r>
      <w:proofErr w:type="spellStart"/>
      <w:r w:rsidRPr="005C6913">
        <w:t>Nishijo</w:t>
      </w:r>
      <w:proofErr w:type="spellEnd"/>
      <w:r w:rsidRPr="005C6913">
        <w:t xml:space="preserve">, H. (2005). Effects of facial expression on shared attention mechanisms. </w:t>
      </w:r>
      <w:r w:rsidRPr="005C6913">
        <w:rPr>
          <w:i/>
          <w:iCs/>
        </w:rPr>
        <w:t>Physiology &amp; Behavior</w:t>
      </w:r>
      <w:r w:rsidRPr="005C6913">
        <w:t xml:space="preserve">, </w:t>
      </w:r>
      <w:r w:rsidRPr="005C6913">
        <w:rPr>
          <w:i/>
          <w:iCs/>
        </w:rPr>
        <w:t>84</w:t>
      </w:r>
      <w:r w:rsidRPr="005C6913">
        <w:t xml:space="preserve">(3), 397–405. </w:t>
      </w:r>
      <w:hyperlink r:id="rId58" w:history="1">
        <w:r w:rsidRPr="005C6913">
          <w:rPr>
            <w:rStyle w:val="Hyperlink"/>
            <w:lang w:val="de-DE"/>
          </w:rPr>
          <w:t>https://doi.org/10.1016/j.physbeh.2005.01.002</w:t>
        </w:r>
      </w:hyperlink>
    </w:p>
    <w:p w14:paraId="36201448" w14:textId="77777777" w:rsidR="005C6913" w:rsidRPr="005C6913" w:rsidRDefault="005C6913" w:rsidP="006C48FC">
      <w:pPr>
        <w:pStyle w:val="Bibentry"/>
        <w:numPr>
          <w:ilvl w:val="0"/>
          <w:numId w:val="32"/>
        </w:numPr>
      </w:pPr>
      <w:r w:rsidRPr="005C6913">
        <w:rPr>
          <w:lang w:val="de-DE"/>
        </w:rPr>
        <w:t xml:space="preserve">Hudson, M., </w:t>
      </w:r>
      <w:proofErr w:type="spellStart"/>
      <w:r w:rsidRPr="005C6913">
        <w:rPr>
          <w:lang w:val="de-DE"/>
        </w:rPr>
        <w:t>Nijboer</w:t>
      </w:r>
      <w:proofErr w:type="spellEnd"/>
      <w:r w:rsidRPr="005C6913">
        <w:rPr>
          <w:lang w:val="de-DE"/>
        </w:rPr>
        <w:t xml:space="preserve">, T. C. W., &amp; </w:t>
      </w:r>
      <w:proofErr w:type="spellStart"/>
      <w:r w:rsidRPr="005C6913">
        <w:rPr>
          <w:lang w:val="de-DE"/>
        </w:rPr>
        <w:t>Jellema</w:t>
      </w:r>
      <w:proofErr w:type="spellEnd"/>
      <w:r w:rsidRPr="005C6913">
        <w:rPr>
          <w:lang w:val="de-DE"/>
        </w:rPr>
        <w:t xml:space="preserve">, T. (2012). </w:t>
      </w:r>
      <w:r w:rsidRPr="005C6913">
        <w:t xml:space="preserve">Implicit Social Learning in Relation to Autistic-Like Traits. </w:t>
      </w:r>
      <w:r w:rsidRPr="005C6913">
        <w:rPr>
          <w:i/>
          <w:iCs/>
        </w:rPr>
        <w:t>Journal of Autism and Developmental Disorders</w:t>
      </w:r>
      <w:r w:rsidRPr="005C6913">
        <w:t xml:space="preserve">, </w:t>
      </w:r>
      <w:r w:rsidRPr="005C6913">
        <w:rPr>
          <w:i/>
          <w:iCs/>
        </w:rPr>
        <w:t>42</w:t>
      </w:r>
      <w:r w:rsidRPr="005C6913">
        <w:t xml:space="preserve">(12), 2534–2545. </w:t>
      </w:r>
      <w:hyperlink r:id="rId59" w:history="1">
        <w:r w:rsidRPr="005C6913">
          <w:rPr>
            <w:rStyle w:val="Hyperlink"/>
          </w:rPr>
          <w:t>https://doi.org/10.1007/s10803-012-1510-3</w:t>
        </w:r>
      </w:hyperlink>
    </w:p>
    <w:p w14:paraId="07B6E6F3" w14:textId="77777777" w:rsidR="005C6913" w:rsidRPr="005C6913" w:rsidRDefault="005C6913" w:rsidP="006C48FC">
      <w:pPr>
        <w:pStyle w:val="Bibentry"/>
        <w:numPr>
          <w:ilvl w:val="0"/>
          <w:numId w:val="32"/>
        </w:numPr>
      </w:pPr>
      <w:r w:rsidRPr="005C6913">
        <w:t xml:space="preserve">James W. Moore, Moore, J. W., David Middleton, Middleton, D., Patrick Haggard, Haggard, P., Paul C. Fletcher, &amp; Fletcher, P. C. (2012). Exploring implicit and explicit aspects of sense of agency. </w:t>
      </w:r>
      <w:r w:rsidRPr="005C6913">
        <w:rPr>
          <w:i/>
          <w:iCs/>
        </w:rPr>
        <w:t>Consciousness and Cognition</w:t>
      </w:r>
      <w:r w:rsidRPr="005C6913">
        <w:t xml:space="preserve">, </w:t>
      </w:r>
      <w:r w:rsidRPr="005C6913">
        <w:rPr>
          <w:i/>
          <w:iCs/>
        </w:rPr>
        <w:t>21</w:t>
      </w:r>
      <w:r w:rsidRPr="005C6913">
        <w:t xml:space="preserve">(4), 1748–1753. </w:t>
      </w:r>
      <w:hyperlink r:id="rId60" w:history="1">
        <w:r w:rsidRPr="005C6913">
          <w:rPr>
            <w:rStyle w:val="Hyperlink"/>
          </w:rPr>
          <w:t>https://doi.org/10.1016/j.concog.2012.10.005</w:t>
        </w:r>
      </w:hyperlink>
    </w:p>
    <w:p w14:paraId="0EC6B51F" w14:textId="77777777" w:rsidR="005C6913" w:rsidRPr="005C6913" w:rsidRDefault="005C6913" w:rsidP="006C48FC">
      <w:pPr>
        <w:pStyle w:val="Bibentry"/>
        <w:numPr>
          <w:ilvl w:val="0"/>
          <w:numId w:val="32"/>
        </w:numPr>
      </w:pPr>
      <w:r w:rsidRPr="005C6913">
        <w:t xml:space="preserve">Janyan, A., Shtyrov, Y., </w:t>
      </w:r>
      <w:proofErr w:type="spellStart"/>
      <w:r w:rsidRPr="005C6913">
        <w:t>Andriushchenko</w:t>
      </w:r>
      <w:proofErr w:type="spellEnd"/>
      <w:r w:rsidRPr="005C6913">
        <w:t xml:space="preserve">, E., Blinova, E., &amp; Shcherbakova, O. (2022). Look and ye shall hear: Selective auditory attention modulates the audiovisual correspondence effect. </w:t>
      </w:r>
      <w:r w:rsidRPr="005C6913">
        <w:rPr>
          <w:i/>
          <w:iCs/>
        </w:rPr>
        <w:t>I-Perception</w:t>
      </w:r>
      <w:r w:rsidRPr="005C6913">
        <w:t xml:space="preserve">, </w:t>
      </w:r>
      <w:r w:rsidRPr="005C6913">
        <w:rPr>
          <w:i/>
          <w:iCs/>
        </w:rPr>
        <w:t>13</w:t>
      </w:r>
      <w:r w:rsidRPr="005C6913">
        <w:t xml:space="preserve">(3), 20416695221095884. </w:t>
      </w:r>
      <w:hyperlink r:id="rId61" w:history="1">
        <w:r w:rsidRPr="005C6913">
          <w:rPr>
            <w:rStyle w:val="Hyperlink"/>
          </w:rPr>
          <w:t>https://doi.org/10.1177/20416695221095884</w:t>
        </w:r>
      </w:hyperlink>
    </w:p>
    <w:p w14:paraId="781F2C9E" w14:textId="77777777" w:rsidR="005C6913" w:rsidRPr="005C6913" w:rsidRDefault="005C6913" w:rsidP="006C48FC">
      <w:pPr>
        <w:pStyle w:val="Bibentry"/>
        <w:numPr>
          <w:ilvl w:val="0"/>
          <w:numId w:val="32"/>
        </w:numPr>
      </w:pPr>
      <w:r w:rsidRPr="005C6913">
        <w:t xml:space="preserve">Jones, B. C., DeBruine, L. M., Main, J. C., Little, A. C., Welling, L. L. M., Feinberg, D. R., &amp; </w:t>
      </w:r>
      <w:proofErr w:type="spellStart"/>
      <w:r w:rsidRPr="005C6913">
        <w:t>Tiddeman</w:t>
      </w:r>
      <w:proofErr w:type="spellEnd"/>
      <w:r w:rsidRPr="005C6913">
        <w:t xml:space="preserve">, B. P. (2010). Facial cues of dominance modulate the short-term gaze-cuing effect in human observers. </w:t>
      </w:r>
      <w:r w:rsidRPr="005C6913">
        <w:rPr>
          <w:i/>
          <w:iCs/>
        </w:rPr>
        <w:t>Proceedings of the Royal Society B: Biological Sciences</w:t>
      </w:r>
      <w:r w:rsidRPr="005C6913">
        <w:t xml:space="preserve">, </w:t>
      </w:r>
      <w:r w:rsidRPr="005C6913">
        <w:rPr>
          <w:i/>
          <w:iCs/>
        </w:rPr>
        <w:t>277</w:t>
      </w:r>
      <w:r w:rsidRPr="005C6913">
        <w:t xml:space="preserve">(1681), 617–624. </w:t>
      </w:r>
      <w:hyperlink r:id="rId62" w:history="1">
        <w:r w:rsidRPr="005C6913">
          <w:rPr>
            <w:rStyle w:val="Hyperlink"/>
          </w:rPr>
          <w:t>https://doi.org/10.1098/rspb.2009.1575</w:t>
        </w:r>
      </w:hyperlink>
    </w:p>
    <w:p w14:paraId="5EFF98BE" w14:textId="77777777" w:rsidR="005C6913" w:rsidRPr="005C6913" w:rsidRDefault="005C6913" w:rsidP="006C48FC">
      <w:pPr>
        <w:pStyle w:val="Bibentry"/>
        <w:numPr>
          <w:ilvl w:val="0"/>
          <w:numId w:val="32"/>
        </w:numPr>
      </w:pPr>
      <w:r w:rsidRPr="005C6913">
        <w:t xml:space="preserve">José Luis Ulloa, José Luis Ulloa, Ulloa, J. L., Roberta Vastano, Vastano, R., Nathalie George, George, N., Marcel Braß, &amp; Brass, M. (2019). The impact of eye contact on the sense of agency. </w:t>
      </w:r>
      <w:r w:rsidRPr="005C6913">
        <w:rPr>
          <w:i/>
          <w:iCs/>
        </w:rPr>
        <w:t>Consciousness and Cognition</w:t>
      </w:r>
      <w:r w:rsidRPr="005C6913">
        <w:t xml:space="preserve">, </w:t>
      </w:r>
      <w:r w:rsidRPr="005C6913">
        <w:rPr>
          <w:i/>
          <w:iCs/>
        </w:rPr>
        <w:t>74</w:t>
      </w:r>
      <w:r w:rsidRPr="005C6913">
        <w:t xml:space="preserve">, 102794. </w:t>
      </w:r>
      <w:hyperlink r:id="rId63" w:history="1">
        <w:r w:rsidRPr="005C6913">
          <w:rPr>
            <w:rStyle w:val="Hyperlink"/>
          </w:rPr>
          <w:t>https://doi.org/10.1016/j.concog.2019.102794</w:t>
        </w:r>
      </w:hyperlink>
    </w:p>
    <w:p w14:paraId="0E9387DE" w14:textId="77777777" w:rsidR="005C6913" w:rsidRPr="005C6913" w:rsidRDefault="005C6913" w:rsidP="006C48FC">
      <w:pPr>
        <w:pStyle w:val="Bibentry"/>
        <w:numPr>
          <w:ilvl w:val="0"/>
          <w:numId w:val="32"/>
        </w:numPr>
      </w:pPr>
      <w:r w:rsidRPr="005C6913">
        <w:t>Kawai, N. (2011). Attentional shift by eye gaze requires joint attention: Eye gaze cues are unique to shift attention</w:t>
      </w:r>
      <w:r w:rsidRPr="005C6913">
        <w:rPr>
          <w:vertAlign w:val="superscript"/>
        </w:rPr>
        <w:t>1</w:t>
      </w:r>
      <w:r w:rsidRPr="005C6913">
        <w:t xml:space="preserve">. </w:t>
      </w:r>
      <w:r w:rsidRPr="005C6913">
        <w:rPr>
          <w:i/>
          <w:iCs/>
        </w:rPr>
        <w:t>Japanese Psychological Research</w:t>
      </w:r>
      <w:r w:rsidRPr="005C6913">
        <w:t xml:space="preserve">, </w:t>
      </w:r>
      <w:r w:rsidRPr="005C6913">
        <w:rPr>
          <w:i/>
          <w:iCs/>
        </w:rPr>
        <w:t>53</w:t>
      </w:r>
      <w:r w:rsidRPr="005C6913">
        <w:t xml:space="preserve">(3), 292–301. </w:t>
      </w:r>
      <w:hyperlink r:id="rId64" w:history="1">
        <w:r w:rsidRPr="005C6913">
          <w:rPr>
            <w:rStyle w:val="Hyperlink"/>
          </w:rPr>
          <w:t>https://doi.org/10.1111/j.1468-5884.2011.00470.x</w:t>
        </w:r>
      </w:hyperlink>
    </w:p>
    <w:p w14:paraId="4CD01721" w14:textId="77777777" w:rsidR="005C6913" w:rsidRPr="005C6913" w:rsidRDefault="005C6913" w:rsidP="006C48FC">
      <w:pPr>
        <w:pStyle w:val="Bibentry"/>
        <w:numPr>
          <w:ilvl w:val="0"/>
          <w:numId w:val="32"/>
        </w:numPr>
      </w:pPr>
      <w:r w:rsidRPr="005C6913">
        <w:t xml:space="preserve">King, D., Rowe, A., &amp; </w:t>
      </w:r>
      <w:proofErr w:type="spellStart"/>
      <w:r w:rsidRPr="005C6913">
        <w:t>Leonards</w:t>
      </w:r>
      <w:proofErr w:type="spellEnd"/>
      <w:r w:rsidRPr="005C6913">
        <w:t xml:space="preserve">, U. (2011). I Trust </w:t>
      </w:r>
      <w:proofErr w:type="gramStart"/>
      <w:r w:rsidRPr="005C6913">
        <w:t>You</w:t>
      </w:r>
      <w:proofErr w:type="gramEnd"/>
      <w:r w:rsidRPr="005C6913">
        <w:t xml:space="preserve">; Hence I Like the Things You Look at: Gaze Cueing and Sender Trustworthiness Influence Object Evaluation. </w:t>
      </w:r>
      <w:r w:rsidRPr="005C6913">
        <w:rPr>
          <w:i/>
          <w:iCs/>
        </w:rPr>
        <w:t>Social Cognition</w:t>
      </w:r>
      <w:r w:rsidRPr="005C6913">
        <w:t xml:space="preserve">, </w:t>
      </w:r>
      <w:r w:rsidRPr="005C6913">
        <w:rPr>
          <w:i/>
          <w:iCs/>
        </w:rPr>
        <w:t>29</w:t>
      </w:r>
      <w:r w:rsidRPr="005C6913">
        <w:t xml:space="preserve">(4), 476–485. </w:t>
      </w:r>
      <w:hyperlink r:id="rId65" w:history="1">
        <w:r w:rsidRPr="005C6913">
          <w:rPr>
            <w:rStyle w:val="Hyperlink"/>
          </w:rPr>
          <w:t>https://doi.org/10.1521/soco.2011.29.4.476</w:t>
        </w:r>
      </w:hyperlink>
    </w:p>
    <w:p w14:paraId="661431C4" w14:textId="77777777" w:rsidR="005C6913" w:rsidRPr="005C6913" w:rsidRDefault="005C6913" w:rsidP="006C48FC">
      <w:pPr>
        <w:pStyle w:val="Bibentry"/>
        <w:numPr>
          <w:ilvl w:val="0"/>
          <w:numId w:val="32"/>
        </w:numPr>
      </w:pPr>
      <w:r w:rsidRPr="005C6913">
        <w:t xml:space="preserve">Kingstone, A., </w:t>
      </w:r>
      <w:proofErr w:type="spellStart"/>
      <w:r w:rsidRPr="005C6913">
        <w:t>Kachkovski</w:t>
      </w:r>
      <w:proofErr w:type="spellEnd"/>
      <w:r w:rsidRPr="005C6913">
        <w:t xml:space="preserve">, G., Vasilyev, D., Kuk, M., &amp; Welsh, T. N. (2019). Mental attribution is not sufficient or necessary to trigger attentional orienting to gaze. </w:t>
      </w:r>
      <w:r w:rsidRPr="005C6913">
        <w:rPr>
          <w:i/>
          <w:iCs/>
        </w:rPr>
        <w:t>Cognition</w:t>
      </w:r>
      <w:r w:rsidRPr="005C6913">
        <w:t xml:space="preserve">, </w:t>
      </w:r>
      <w:r w:rsidRPr="005C6913">
        <w:rPr>
          <w:i/>
          <w:iCs/>
        </w:rPr>
        <w:t>189</w:t>
      </w:r>
      <w:r w:rsidRPr="005C6913">
        <w:t xml:space="preserve">, 35–40. </w:t>
      </w:r>
      <w:hyperlink r:id="rId66" w:history="1">
        <w:r w:rsidRPr="005C6913">
          <w:rPr>
            <w:rStyle w:val="Hyperlink"/>
          </w:rPr>
          <w:t>https://doi.org/10.1016/j.cognition.2019.03.010</w:t>
        </w:r>
      </w:hyperlink>
    </w:p>
    <w:p w14:paraId="2FC611CF" w14:textId="77777777" w:rsidR="005C6913" w:rsidRPr="005C6913" w:rsidRDefault="005C6913" w:rsidP="006C48FC">
      <w:pPr>
        <w:pStyle w:val="Bibentry"/>
        <w:numPr>
          <w:ilvl w:val="0"/>
          <w:numId w:val="32"/>
        </w:numPr>
      </w:pPr>
      <w:r w:rsidRPr="005C6913">
        <w:t xml:space="preserve">Kuhn, G., Pagano, A., Maani, S., &amp; Bunce, D. (2015). Age-related decline in the reflexive component of overt gaze following. </w:t>
      </w:r>
      <w:r w:rsidRPr="005C6913">
        <w:rPr>
          <w:i/>
          <w:iCs/>
        </w:rPr>
        <w:t>Quarterly Journal of Experimental Psychology</w:t>
      </w:r>
      <w:r w:rsidRPr="005C6913">
        <w:t xml:space="preserve">, </w:t>
      </w:r>
      <w:r w:rsidRPr="005C6913">
        <w:rPr>
          <w:i/>
          <w:iCs/>
        </w:rPr>
        <w:t>68</w:t>
      </w:r>
      <w:r w:rsidRPr="005C6913">
        <w:t xml:space="preserve">(6), 1073–1081. </w:t>
      </w:r>
      <w:hyperlink r:id="rId67" w:history="1">
        <w:r w:rsidRPr="005C6913">
          <w:rPr>
            <w:rStyle w:val="Hyperlink"/>
          </w:rPr>
          <w:t>https://doi.org/10.1080/17470218.2014.975257</w:t>
        </w:r>
      </w:hyperlink>
    </w:p>
    <w:p w14:paraId="5CA5F15D" w14:textId="77777777" w:rsidR="005C6913" w:rsidRPr="005C6913" w:rsidRDefault="005C6913" w:rsidP="006C48FC">
      <w:pPr>
        <w:pStyle w:val="Bibentry"/>
        <w:numPr>
          <w:ilvl w:val="0"/>
          <w:numId w:val="32"/>
        </w:numPr>
      </w:pPr>
      <w:r w:rsidRPr="005C6913">
        <w:t xml:space="preserve">Kuhn, G., </w:t>
      </w:r>
      <w:proofErr w:type="spellStart"/>
      <w:r w:rsidRPr="005C6913">
        <w:t>Vacaityte</w:t>
      </w:r>
      <w:proofErr w:type="spellEnd"/>
      <w:r w:rsidRPr="005C6913">
        <w:t xml:space="preserve">, I., D’Souza, A. D. C., Millett, A. C., &amp; Cole, G. G. (2018). Mental states modulate gaze following, but not automatically. </w:t>
      </w:r>
      <w:r w:rsidRPr="005C6913">
        <w:rPr>
          <w:i/>
          <w:iCs/>
        </w:rPr>
        <w:t>Cognition</w:t>
      </w:r>
      <w:r w:rsidRPr="005C6913">
        <w:t xml:space="preserve">, </w:t>
      </w:r>
      <w:r w:rsidRPr="005C6913">
        <w:rPr>
          <w:i/>
          <w:iCs/>
        </w:rPr>
        <w:t>180</w:t>
      </w:r>
      <w:r w:rsidRPr="005C6913">
        <w:t xml:space="preserve">, 1–9. </w:t>
      </w:r>
      <w:hyperlink r:id="rId68" w:history="1">
        <w:r w:rsidRPr="005C6913">
          <w:rPr>
            <w:rStyle w:val="Hyperlink"/>
          </w:rPr>
          <w:t>https://doi.org/10.1016/j.cognition.2018.05.020</w:t>
        </w:r>
      </w:hyperlink>
    </w:p>
    <w:p w14:paraId="65295B58" w14:textId="77777777" w:rsidR="005C6913" w:rsidRPr="005C6913" w:rsidRDefault="005C6913" w:rsidP="006C48FC">
      <w:pPr>
        <w:pStyle w:val="Bibentry"/>
        <w:numPr>
          <w:ilvl w:val="0"/>
          <w:numId w:val="32"/>
        </w:numPr>
        <w:rPr>
          <w:lang w:val="de-DE"/>
        </w:rPr>
      </w:pPr>
      <w:proofErr w:type="spellStart"/>
      <w:r w:rsidRPr="005C6913">
        <w:rPr>
          <w:lang w:val="de-DE"/>
        </w:rPr>
        <w:t>Kurowski</w:t>
      </w:r>
      <w:proofErr w:type="spellEnd"/>
      <w:r w:rsidRPr="005C6913">
        <w:rPr>
          <w:lang w:val="de-DE"/>
        </w:rPr>
        <w:t xml:space="preserve">, K., &amp; Blumstein, S. E. (2016). </w:t>
      </w:r>
      <w:r w:rsidRPr="005C6913">
        <w:t xml:space="preserve">Phonetic basis of phonemic </w:t>
      </w:r>
      <w:proofErr w:type="spellStart"/>
      <w:r w:rsidRPr="005C6913">
        <w:t>paraphasias</w:t>
      </w:r>
      <w:proofErr w:type="spellEnd"/>
      <w:r w:rsidRPr="005C6913">
        <w:t xml:space="preserve"> in aphasia: Evidence for cascading activation. </w:t>
      </w:r>
      <w:r w:rsidRPr="005C6913">
        <w:rPr>
          <w:i/>
          <w:iCs/>
          <w:lang w:val="de-DE"/>
        </w:rPr>
        <w:t>Cortex</w:t>
      </w:r>
      <w:r w:rsidRPr="005C6913">
        <w:rPr>
          <w:lang w:val="de-DE"/>
        </w:rPr>
        <w:t xml:space="preserve">, </w:t>
      </w:r>
      <w:r w:rsidRPr="005C6913">
        <w:rPr>
          <w:i/>
          <w:iCs/>
          <w:lang w:val="de-DE"/>
        </w:rPr>
        <w:t>75</w:t>
      </w:r>
      <w:r w:rsidRPr="005C6913">
        <w:rPr>
          <w:lang w:val="de-DE"/>
        </w:rPr>
        <w:t xml:space="preserve">, 193–203. </w:t>
      </w:r>
      <w:hyperlink r:id="rId69" w:history="1">
        <w:r w:rsidRPr="005C6913">
          <w:rPr>
            <w:rStyle w:val="Hyperlink"/>
            <w:lang w:val="de-DE"/>
          </w:rPr>
          <w:t>https://doi.org/10.1016/j.cortex.2015.12.005</w:t>
        </w:r>
      </w:hyperlink>
    </w:p>
    <w:p w14:paraId="7EA221A5" w14:textId="77777777" w:rsidR="005C6913" w:rsidRPr="005C6913" w:rsidRDefault="005C6913" w:rsidP="006C48FC">
      <w:pPr>
        <w:pStyle w:val="Bibentry"/>
        <w:numPr>
          <w:ilvl w:val="0"/>
          <w:numId w:val="32"/>
        </w:numPr>
      </w:pPr>
      <w:r w:rsidRPr="005C6913">
        <w:rPr>
          <w:lang w:val="de-DE"/>
        </w:rPr>
        <w:t xml:space="preserve">Kürten, J., </w:t>
      </w:r>
      <w:proofErr w:type="spellStart"/>
      <w:r w:rsidRPr="005C6913">
        <w:rPr>
          <w:lang w:val="de-DE"/>
        </w:rPr>
        <w:t>Breil</w:t>
      </w:r>
      <w:proofErr w:type="spellEnd"/>
      <w:r w:rsidRPr="005C6913">
        <w:rPr>
          <w:lang w:val="de-DE"/>
        </w:rPr>
        <w:t xml:space="preserve">, C., </w:t>
      </w:r>
      <w:proofErr w:type="spellStart"/>
      <w:r w:rsidRPr="005C6913">
        <w:rPr>
          <w:lang w:val="de-DE"/>
        </w:rPr>
        <w:t>Pittig</w:t>
      </w:r>
      <w:proofErr w:type="spellEnd"/>
      <w:r w:rsidRPr="005C6913">
        <w:rPr>
          <w:lang w:val="de-DE"/>
        </w:rPr>
        <w:t xml:space="preserve">, R., </w:t>
      </w:r>
      <w:proofErr w:type="spellStart"/>
      <w:r w:rsidRPr="005C6913">
        <w:rPr>
          <w:lang w:val="de-DE"/>
        </w:rPr>
        <w:t>Huestegge</w:t>
      </w:r>
      <w:proofErr w:type="spellEnd"/>
      <w:r w:rsidRPr="005C6913">
        <w:rPr>
          <w:lang w:val="de-DE"/>
        </w:rPr>
        <w:t xml:space="preserve">, L., &amp; Böckler, A. (2025). </w:t>
      </w:r>
      <w:r w:rsidRPr="005C6913">
        <w:t xml:space="preserve">How eccentricity modulates attention capture by direct face/gaze and sudden onset motion. </w:t>
      </w:r>
      <w:r w:rsidRPr="005C6913">
        <w:rPr>
          <w:i/>
          <w:iCs/>
        </w:rPr>
        <w:t>Attention, Perception, &amp; Psychophysics</w:t>
      </w:r>
      <w:r w:rsidRPr="005C6913">
        <w:t xml:space="preserve">, </w:t>
      </w:r>
      <w:r w:rsidRPr="005C6913">
        <w:rPr>
          <w:i/>
          <w:iCs/>
        </w:rPr>
        <w:t>87</w:t>
      </w:r>
      <w:r w:rsidRPr="005C6913">
        <w:t xml:space="preserve">(2), 354–366. </w:t>
      </w:r>
      <w:hyperlink r:id="rId70" w:history="1">
        <w:r w:rsidRPr="005C6913">
          <w:rPr>
            <w:rStyle w:val="Hyperlink"/>
          </w:rPr>
          <w:t>https://doi.org/10.3758/s13414-025-03015-8</w:t>
        </w:r>
      </w:hyperlink>
    </w:p>
    <w:p w14:paraId="2CF1BF9D" w14:textId="77777777" w:rsidR="005C6913" w:rsidRPr="005C6913" w:rsidRDefault="005C6913" w:rsidP="006C48FC">
      <w:pPr>
        <w:pStyle w:val="Bibentry"/>
        <w:numPr>
          <w:ilvl w:val="0"/>
          <w:numId w:val="32"/>
        </w:numPr>
      </w:pPr>
      <w:r w:rsidRPr="005C6913">
        <w:t xml:space="preserve">Langton, S. R. H., &amp; Bruce, V. (1999). Reflexive Visual Orienting in Response to the Social Attention of Others. </w:t>
      </w:r>
      <w:r w:rsidRPr="005C6913">
        <w:rPr>
          <w:i/>
          <w:iCs/>
        </w:rPr>
        <w:t>Visual Cognition</w:t>
      </w:r>
      <w:r w:rsidRPr="005C6913">
        <w:t xml:space="preserve">, </w:t>
      </w:r>
      <w:r w:rsidRPr="005C6913">
        <w:rPr>
          <w:i/>
          <w:iCs/>
        </w:rPr>
        <w:t>6</w:t>
      </w:r>
      <w:r w:rsidRPr="005C6913">
        <w:t xml:space="preserve">(5), 541–567. </w:t>
      </w:r>
      <w:hyperlink r:id="rId71" w:history="1">
        <w:r w:rsidRPr="005C6913">
          <w:rPr>
            <w:rStyle w:val="Hyperlink"/>
          </w:rPr>
          <w:t>https://doi.org/10.1080/135062899394939</w:t>
        </w:r>
      </w:hyperlink>
    </w:p>
    <w:p w14:paraId="5150A980" w14:textId="77777777" w:rsidR="005C6913" w:rsidRPr="005C6913" w:rsidRDefault="005C6913" w:rsidP="006C48FC">
      <w:pPr>
        <w:pStyle w:val="Bibentry"/>
        <w:numPr>
          <w:ilvl w:val="0"/>
          <w:numId w:val="32"/>
        </w:numPr>
      </w:pPr>
      <w:r w:rsidRPr="005C6913">
        <w:t xml:space="preserve">Langton, S. R. H., Watt, R. J., &amp; Bruce, V. (2000). Do the eyes have it? Cues to the direction of social attention. </w:t>
      </w:r>
      <w:r w:rsidRPr="005C6913">
        <w:rPr>
          <w:i/>
          <w:iCs/>
        </w:rPr>
        <w:t>Trends in Cognitive Sciences</w:t>
      </w:r>
      <w:r w:rsidRPr="005C6913">
        <w:t xml:space="preserve">, </w:t>
      </w:r>
      <w:r w:rsidRPr="005C6913">
        <w:rPr>
          <w:i/>
          <w:iCs/>
        </w:rPr>
        <w:t>4</w:t>
      </w:r>
      <w:r w:rsidRPr="005C6913">
        <w:t xml:space="preserve">(2), 50–59. </w:t>
      </w:r>
      <w:hyperlink r:id="rId72" w:history="1">
        <w:r w:rsidRPr="005C6913">
          <w:rPr>
            <w:rStyle w:val="Hyperlink"/>
          </w:rPr>
          <w:t>https://doi.org/10.1016/S1364-6613(99)01436-9</w:t>
        </w:r>
      </w:hyperlink>
    </w:p>
    <w:p w14:paraId="1E836792" w14:textId="77777777" w:rsidR="005C6913" w:rsidRPr="005C6913" w:rsidRDefault="005C6913" w:rsidP="006C48FC">
      <w:pPr>
        <w:pStyle w:val="Bibentry"/>
        <w:numPr>
          <w:ilvl w:val="0"/>
          <w:numId w:val="32"/>
        </w:numPr>
      </w:pPr>
      <w:r w:rsidRPr="005C6913">
        <w:t xml:space="preserve">Lassalle, A., &amp; Itier, R. J. (2015). Autistic traits influence gaze-oriented attention to happy but not fearful faces. </w:t>
      </w:r>
      <w:r w:rsidRPr="005C6913">
        <w:rPr>
          <w:i/>
          <w:iCs/>
        </w:rPr>
        <w:t>Social Neuroscience</w:t>
      </w:r>
      <w:r w:rsidRPr="005C6913">
        <w:t xml:space="preserve">, </w:t>
      </w:r>
      <w:r w:rsidRPr="005C6913">
        <w:rPr>
          <w:i/>
          <w:iCs/>
        </w:rPr>
        <w:t>10</w:t>
      </w:r>
      <w:r w:rsidRPr="005C6913">
        <w:t xml:space="preserve">(1), 70–88. </w:t>
      </w:r>
      <w:hyperlink r:id="rId73" w:history="1">
        <w:r w:rsidRPr="005C6913">
          <w:rPr>
            <w:rStyle w:val="Hyperlink"/>
          </w:rPr>
          <w:t>https://doi.org/10.1080/17470919.2014.958616</w:t>
        </w:r>
      </w:hyperlink>
    </w:p>
    <w:p w14:paraId="32291E3D" w14:textId="77777777" w:rsidR="005C6913" w:rsidRPr="005C6913" w:rsidRDefault="005C6913" w:rsidP="006C48FC">
      <w:pPr>
        <w:pStyle w:val="Bibentry"/>
        <w:numPr>
          <w:ilvl w:val="0"/>
          <w:numId w:val="32"/>
        </w:numPr>
      </w:pPr>
      <w:r w:rsidRPr="005C6913">
        <w:t xml:space="preserve">Lavie, N. (2005). Distracted and </w:t>
      </w:r>
      <w:proofErr w:type="gramStart"/>
      <w:r w:rsidRPr="005C6913">
        <w:t>confused?:</w:t>
      </w:r>
      <w:proofErr w:type="gramEnd"/>
      <w:r w:rsidRPr="005C6913">
        <w:t xml:space="preserve"> Selective attention under load. </w:t>
      </w:r>
      <w:r w:rsidRPr="005C6913">
        <w:rPr>
          <w:i/>
          <w:iCs/>
        </w:rPr>
        <w:t>Trends in Cognitive Sciences</w:t>
      </w:r>
      <w:r w:rsidRPr="005C6913">
        <w:t xml:space="preserve">, </w:t>
      </w:r>
      <w:r w:rsidRPr="005C6913">
        <w:rPr>
          <w:i/>
          <w:iCs/>
        </w:rPr>
        <w:t>9</w:t>
      </w:r>
      <w:r w:rsidRPr="005C6913">
        <w:t xml:space="preserve">(2), 75–82. </w:t>
      </w:r>
      <w:hyperlink r:id="rId74" w:history="1">
        <w:r w:rsidRPr="005C6913">
          <w:rPr>
            <w:rStyle w:val="Hyperlink"/>
          </w:rPr>
          <w:t>https://doi.org/10.1016/j.tics.2004.12.004</w:t>
        </w:r>
      </w:hyperlink>
    </w:p>
    <w:p w14:paraId="6E79C799" w14:textId="77777777" w:rsidR="005C6913" w:rsidRPr="005C6913" w:rsidRDefault="005C6913" w:rsidP="006C48FC">
      <w:pPr>
        <w:pStyle w:val="Bibentry"/>
        <w:numPr>
          <w:ilvl w:val="0"/>
          <w:numId w:val="32"/>
        </w:numPr>
      </w:pPr>
      <w:r w:rsidRPr="005C6913">
        <w:t xml:space="preserve">Liuzza, M. T., </w:t>
      </w:r>
      <w:proofErr w:type="spellStart"/>
      <w:r w:rsidRPr="005C6913">
        <w:t>Cazzato</w:t>
      </w:r>
      <w:proofErr w:type="spellEnd"/>
      <w:r w:rsidRPr="005C6913">
        <w:t xml:space="preserve">, V., Vecchione, M., </w:t>
      </w:r>
      <w:proofErr w:type="spellStart"/>
      <w:r w:rsidRPr="005C6913">
        <w:t>Crostella</w:t>
      </w:r>
      <w:proofErr w:type="spellEnd"/>
      <w:r w:rsidRPr="005C6913">
        <w:t xml:space="preserve">, F., Caprara, G. V., &amp; </w:t>
      </w:r>
      <w:proofErr w:type="spellStart"/>
      <w:r w:rsidRPr="005C6913">
        <w:t>Aglioti</w:t>
      </w:r>
      <w:proofErr w:type="spellEnd"/>
      <w:r w:rsidRPr="005C6913">
        <w:t xml:space="preserve">, S. M. (2011). Follow My Eyes: The Gaze of Politicians Reflexively Captures the Gaze of Ingroup Voters. </w:t>
      </w:r>
      <w:proofErr w:type="spellStart"/>
      <w:r w:rsidRPr="005C6913">
        <w:rPr>
          <w:i/>
          <w:iCs/>
        </w:rPr>
        <w:t>PLoS</w:t>
      </w:r>
      <w:proofErr w:type="spellEnd"/>
      <w:r w:rsidRPr="005C6913">
        <w:rPr>
          <w:i/>
          <w:iCs/>
        </w:rPr>
        <w:t xml:space="preserve"> ONE</w:t>
      </w:r>
      <w:r w:rsidRPr="005C6913">
        <w:t xml:space="preserve">, </w:t>
      </w:r>
      <w:r w:rsidRPr="005C6913">
        <w:rPr>
          <w:i/>
          <w:iCs/>
        </w:rPr>
        <w:t>6</w:t>
      </w:r>
      <w:r w:rsidRPr="005C6913">
        <w:t xml:space="preserve">(9), e25117. </w:t>
      </w:r>
      <w:hyperlink r:id="rId75" w:history="1">
        <w:r w:rsidRPr="005C6913">
          <w:rPr>
            <w:rStyle w:val="Hyperlink"/>
          </w:rPr>
          <w:t>https://doi.org/10.1371/journal.pone.0025117</w:t>
        </w:r>
      </w:hyperlink>
    </w:p>
    <w:p w14:paraId="50EB36B0" w14:textId="77777777" w:rsidR="005C6913" w:rsidRPr="005C6913" w:rsidRDefault="005C6913" w:rsidP="006C48FC">
      <w:pPr>
        <w:pStyle w:val="Bibentry"/>
        <w:numPr>
          <w:ilvl w:val="0"/>
          <w:numId w:val="32"/>
        </w:numPr>
      </w:pPr>
      <w:r w:rsidRPr="005C6913">
        <w:t xml:space="preserve">Mansfield, E., </w:t>
      </w:r>
      <w:proofErr w:type="spellStart"/>
      <w:r w:rsidRPr="005C6913">
        <w:t>Farroni</w:t>
      </w:r>
      <w:proofErr w:type="spellEnd"/>
      <w:r w:rsidRPr="005C6913">
        <w:t xml:space="preserve">, T., &amp; Johnson, M. (2003). Does gaze perception facilitate overt orienting? </w:t>
      </w:r>
      <w:r w:rsidRPr="005C6913">
        <w:rPr>
          <w:i/>
          <w:iCs/>
        </w:rPr>
        <w:t>Visual Cognition</w:t>
      </w:r>
      <w:r w:rsidRPr="005C6913">
        <w:t xml:space="preserve">, </w:t>
      </w:r>
      <w:r w:rsidRPr="005C6913">
        <w:rPr>
          <w:i/>
          <w:iCs/>
        </w:rPr>
        <w:t>10</w:t>
      </w:r>
      <w:r w:rsidRPr="005C6913">
        <w:t xml:space="preserve">(1), 7–14. </w:t>
      </w:r>
      <w:hyperlink r:id="rId76" w:history="1">
        <w:r w:rsidRPr="005C6913">
          <w:rPr>
            <w:rStyle w:val="Hyperlink"/>
          </w:rPr>
          <w:t>https://doi.org/10.1080/713756671</w:t>
        </w:r>
      </w:hyperlink>
    </w:p>
    <w:p w14:paraId="6A9DCC63" w14:textId="77777777" w:rsidR="005C6913" w:rsidRPr="005C6913" w:rsidRDefault="005C6913" w:rsidP="006C48FC">
      <w:pPr>
        <w:pStyle w:val="Bibentry"/>
        <w:numPr>
          <w:ilvl w:val="0"/>
          <w:numId w:val="32"/>
        </w:numPr>
      </w:pPr>
      <w:r w:rsidRPr="005C6913">
        <w:t xml:space="preserve">Martin, J.-R., &amp; </w:t>
      </w:r>
      <w:proofErr w:type="spellStart"/>
      <w:r w:rsidRPr="005C6913">
        <w:t>Pacherie</w:t>
      </w:r>
      <w:proofErr w:type="spellEnd"/>
      <w:r w:rsidRPr="005C6913">
        <w:t xml:space="preserve">, E. (2013). Out of nowhere: Thought insertion, ownership and context-integration. </w:t>
      </w:r>
      <w:r w:rsidRPr="005C6913">
        <w:rPr>
          <w:i/>
          <w:iCs/>
        </w:rPr>
        <w:t>Consciousness and Cognition</w:t>
      </w:r>
      <w:r w:rsidRPr="005C6913">
        <w:t xml:space="preserve">, </w:t>
      </w:r>
      <w:r w:rsidRPr="005C6913">
        <w:rPr>
          <w:i/>
          <w:iCs/>
        </w:rPr>
        <w:t>22</w:t>
      </w:r>
      <w:r w:rsidRPr="005C6913">
        <w:t xml:space="preserve">(1), 111–122. </w:t>
      </w:r>
      <w:hyperlink r:id="rId77" w:history="1">
        <w:r w:rsidRPr="005C6913">
          <w:rPr>
            <w:rStyle w:val="Hyperlink"/>
          </w:rPr>
          <w:t>https://doi.org/10.1016/j.concog.2012.11.012</w:t>
        </w:r>
      </w:hyperlink>
    </w:p>
    <w:p w14:paraId="42B6D29F" w14:textId="77777777" w:rsidR="005C6913" w:rsidRPr="005C6913" w:rsidRDefault="005C6913" w:rsidP="006C48FC">
      <w:pPr>
        <w:pStyle w:val="Bibentry"/>
        <w:numPr>
          <w:ilvl w:val="0"/>
          <w:numId w:val="32"/>
        </w:numPr>
      </w:pPr>
      <w:r w:rsidRPr="005C6913">
        <w:t xml:space="preserve">Mathews, A., Fox, E., </w:t>
      </w:r>
      <w:proofErr w:type="spellStart"/>
      <w:r w:rsidRPr="005C6913">
        <w:t>Yiend</w:t>
      </w:r>
      <w:proofErr w:type="spellEnd"/>
      <w:r w:rsidRPr="005C6913">
        <w:t xml:space="preserve">, J., &amp; Calder, A. (2003). The face of fear: Effects of eye gaze and emotion on visual attention. </w:t>
      </w:r>
      <w:r w:rsidRPr="005C6913">
        <w:rPr>
          <w:i/>
          <w:iCs/>
        </w:rPr>
        <w:t>Visual Cognition</w:t>
      </w:r>
      <w:r w:rsidRPr="005C6913">
        <w:t xml:space="preserve">, </w:t>
      </w:r>
      <w:r w:rsidRPr="005C6913">
        <w:rPr>
          <w:i/>
          <w:iCs/>
        </w:rPr>
        <w:t>10</w:t>
      </w:r>
      <w:r w:rsidRPr="005C6913">
        <w:t xml:space="preserve">(7), 823–835. </w:t>
      </w:r>
      <w:hyperlink r:id="rId78" w:history="1">
        <w:r w:rsidRPr="005C6913">
          <w:rPr>
            <w:rStyle w:val="Hyperlink"/>
          </w:rPr>
          <w:t>https://doi.org/10.1080/13506280344000095</w:t>
        </w:r>
      </w:hyperlink>
    </w:p>
    <w:p w14:paraId="7ABB03BC" w14:textId="77777777" w:rsidR="005C6913" w:rsidRPr="005C6913" w:rsidRDefault="005C6913" w:rsidP="006C48FC">
      <w:pPr>
        <w:pStyle w:val="Bibentry"/>
        <w:numPr>
          <w:ilvl w:val="0"/>
          <w:numId w:val="32"/>
        </w:numPr>
      </w:pPr>
      <w:r w:rsidRPr="005C6913">
        <w:t xml:space="preserve">Matsunaka, R., &amp; Hiraki, K. (2019). Rapid saccadic response with fearful gaze cue. </w:t>
      </w:r>
      <w:r w:rsidRPr="005C6913">
        <w:rPr>
          <w:i/>
          <w:iCs/>
        </w:rPr>
        <w:t>PLOS ONE</w:t>
      </w:r>
      <w:r w:rsidRPr="005C6913">
        <w:t xml:space="preserve">, </w:t>
      </w:r>
      <w:r w:rsidRPr="005C6913">
        <w:rPr>
          <w:i/>
          <w:iCs/>
        </w:rPr>
        <w:t>14</w:t>
      </w:r>
      <w:r w:rsidRPr="005C6913">
        <w:t xml:space="preserve">(3), e0212450. </w:t>
      </w:r>
      <w:hyperlink r:id="rId79" w:history="1">
        <w:r w:rsidRPr="005C6913">
          <w:rPr>
            <w:rStyle w:val="Hyperlink"/>
          </w:rPr>
          <w:t>https://doi.org/10.1371/journal.pone.0212450</w:t>
        </w:r>
      </w:hyperlink>
    </w:p>
    <w:p w14:paraId="738B4BAA" w14:textId="77777777" w:rsidR="005C6913" w:rsidRPr="005C6913" w:rsidRDefault="005C6913" w:rsidP="006C48FC">
      <w:pPr>
        <w:pStyle w:val="Bibentry"/>
        <w:numPr>
          <w:ilvl w:val="0"/>
          <w:numId w:val="32"/>
        </w:numPr>
      </w:pPr>
      <w:r w:rsidRPr="005C6913">
        <w:t xml:space="preserve">McCrackin, S. D., &amp; Itier, R. J. (2018). Both fearful and happy expressions interact with gaze direction by 200 </w:t>
      </w:r>
      <w:proofErr w:type="spellStart"/>
      <w:r w:rsidRPr="005C6913">
        <w:t>ms</w:t>
      </w:r>
      <w:proofErr w:type="spellEnd"/>
      <w:r w:rsidRPr="005C6913">
        <w:t xml:space="preserve"> SOA to speed attention orienting. </w:t>
      </w:r>
      <w:r w:rsidRPr="005C6913">
        <w:rPr>
          <w:i/>
          <w:iCs/>
        </w:rPr>
        <w:t>Visual Cognition</w:t>
      </w:r>
      <w:r w:rsidRPr="005C6913">
        <w:t xml:space="preserve">, </w:t>
      </w:r>
      <w:r w:rsidRPr="005C6913">
        <w:rPr>
          <w:i/>
          <w:iCs/>
        </w:rPr>
        <w:t>26</w:t>
      </w:r>
      <w:r w:rsidRPr="005C6913">
        <w:t xml:space="preserve">(4), 231–252. </w:t>
      </w:r>
      <w:hyperlink r:id="rId80" w:history="1">
        <w:r w:rsidRPr="005C6913">
          <w:rPr>
            <w:rStyle w:val="Hyperlink"/>
          </w:rPr>
          <w:t>https://doi.org/10.1080/13506285.2017.1420118</w:t>
        </w:r>
      </w:hyperlink>
    </w:p>
    <w:p w14:paraId="41E2A913" w14:textId="77777777" w:rsidR="005C6913" w:rsidRPr="005C6913" w:rsidRDefault="005C6913" w:rsidP="006C48FC">
      <w:pPr>
        <w:pStyle w:val="Bibentry"/>
        <w:numPr>
          <w:ilvl w:val="0"/>
          <w:numId w:val="32"/>
        </w:numPr>
      </w:pPr>
      <w:r w:rsidRPr="005C6913">
        <w:t xml:space="preserve">Metcalfe, J., &amp; Terrace, H. S. (2013). </w:t>
      </w:r>
      <w:r w:rsidRPr="005C6913">
        <w:rPr>
          <w:i/>
          <w:iCs/>
        </w:rPr>
        <w:t>Agency and Joint Attention</w:t>
      </w:r>
      <w:r w:rsidRPr="005C6913">
        <w:t>.</w:t>
      </w:r>
    </w:p>
    <w:p w14:paraId="2F7D2288" w14:textId="77777777" w:rsidR="005C6913" w:rsidRPr="005C6913" w:rsidRDefault="005C6913" w:rsidP="006C48FC">
      <w:pPr>
        <w:pStyle w:val="Bibentry"/>
        <w:numPr>
          <w:ilvl w:val="0"/>
          <w:numId w:val="32"/>
        </w:numPr>
        <w:rPr>
          <w:lang w:val="de-DE"/>
        </w:rPr>
      </w:pPr>
      <w:r w:rsidRPr="005C6913">
        <w:t xml:space="preserve">Morgan, E. J., Freeth, M., &amp; Smith, D. T. (2018). Mental State Attributions Mediate the Gaze Cueing Effect. </w:t>
      </w:r>
      <w:r w:rsidRPr="005C6913">
        <w:rPr>
          <w:i/>
          <w:iCs/>
          <w:lang w:val="de-DE"/>
        </w:rPr>
        <w:t>Vision</w:t>
      </w:r>
      <w:r w:rsidRPr="005C6913">
        <w:rPr>
          <w:lang w:val="de-DE"/>
        </w:rPr>
        <w:t xml:space="preserve">, </w:t>
      </w:r>
      <w:r w:rsidRPr="005C6913">
        <w:rPr>
          <w:i/>
          <w:iCs/>
          <w:lang w:val="de-DE"/>
        </w:rPr>
        <w:t>2</w:t>
      </w:r>
      <w:r w:rsidRPr="005C6913">
        <w:rPr>
          <w:lang w:val="de-DE"/>
        </w:rPr>
        <w:t xml:space="preserve">(1), 11. </w:t>
      </w:r>
      <w:hyperlink r:id="rId81" w:history="1">
        <w:r w:rsidRPr="005C6913">
          <w:rPr>
            <w:rStyle w:val="Hyperlink"/>
            <w:lang w:val="de-DE"/>
          </w:rPr>
          <w:t>https://doi.org/10.3390/vision2010011</w:t>
        </w:r>
      </w:hyperlink>
    </w:p>
    <w:p w14:paraId="6EA29312" w14:textId="77777777" w:rsidR="005C6913" w:rsidRPr="005C6913" w:rsidRDefault="005C6913" w:rsidP="006C48FC">
      <w:pPr>
        <w:pStyle w:val="Bibentry"/>
        <w:numPr>
          <w:ilvl w:val="0"/>
          <w:numId w:val="32"/>
        </w:numPr>
      </w:pPr>
      <w:r w:rsidRPr="005C6913">
        <w:rPr>
          <w:lang w:val="de-DE"/>
        </w:rPr>
        <w:t xml:space="preserve">Murray, N. E., Drake, R. S., &amp; Klein, R. M. (2023). </w:t>
      </w:r>
      <w:r w:rsidRPr="005C6913">
        <w:t xml:space="preserve">Is gaze cuing more like endogenous or exogenous orienting? </w:t>
      </w:r>
      <w:r w:rsidRPr="005C6913">
        <w:rPr>
          <w:i/>
          <w:iCs/>
        </w:rPr>
        <w:t xml:space="preserve">Canadian Journal of Experimental Psychology / Revue Canadienne de </w:t>
      </w:r>
      <w:proofErr w:type="spellStart"/>
      <w:r w:rsidRPr="005C6913">
        <w:rPr>
          <w:i/>
          <w:iCs/>
        </w:rPr>
        <w:t>Psychologie</w:t>
      </w:r>
      <w:proofErr w:type="spellEnd"/>
      <w:r w:rsidRPr="005C6913">
        <w:rPr>
          <w:i/>
          <w:iCs/>
        </w:rPr>
        <w:t xml:space="preserve"> </w:t>
      </w:r>
      <w:proofErr w:type="spellStart"/>
      <w:r w:rsidRPr="005C6913">
        <w:rPr>
          <w:i/>
          <w:iCs/>
        </w:rPr>
        <w:t>Expérimentale</w:t>
      </w:r>
      <w:proofErr w:type="spellEnd"/>
      <w:r w:rsidRPr="005C6913">
        <w:t xml:space="preserve">, </w:t>
      </w:r>
      <w:r w:rsidRPr="005C6913">
        <w:rPr>
          <w:i/>
          <w:iCs/>
        </w:rPr>
        <w:t>77</w:t>
      </w:r>
      <w:r w:rsidRPr="005C6913">
        <w:t xml:space="preserve">(4), 262–270. </w:t>
      </w:r>
      <w:hyperlink r:id="rId82" w:history="1">
        <w:r w:rsidRPr="005C6913">
          <w:rPr>
            <w:rStyle w:val="Hyperlink"/>
          </w:rPr>
          <w:t>https://doi.org/10.1037/cep0000315</w:t>
        </w:r>
      </w:hyperlink>
    </w:p>
    <w:p w14:paraId="6DF1074E" w14:textId="77777777" w:rsidR="005C6913" w:rsidRPr="005C6913" w:rsidRDefault="005C6913" w:rsidP="006C48FC">
      <w:pPr>
        <w:pStyle w:val="Bibentry"/>
        <w:numPr>
          <w:ilvl w:val="0"/>
          <w:numId w:val="32"/>
        </w:numPr>
      </w:pPr>
      <w:proofErr w:type="spellStart"/>
      <w:r w:rsidRPr="005C6913">
        <w:t>Nuku</w:t>
      </w:r>
      <w:proofErr w:type="spellEnd"/>
      <w:r w:rsidRPr="005C6913">
        <w:t xml:space="preserve">, P., &amp; Bekkering, H. (2008). Joint attention: Inferring what others perceive (and don’t perceive). </w:t>
      </w:r>
      <w:r w:rsidRPr="005C6913">
        <w:rPr>
          <w:i/>
          <w:iCs/>
        </w:rPr>
        <w:t>Consciousness and Cognition</w:t>
      </w:r>
      <w:r w:rsidRPr="005C6913">
        <w:t xml:space="preserve">, </w:t>
      </w:r>
      <w:r w:rsidRPr="005C6913">
        <w:rPr>
          <w:i/>
          <w:iCs/>
        </w:rPr>
        <w:t>17</w:t>
      </w:r>
      <w:r w:rsidRPr="005C6913">
        <w:t xml:space="preserve">(1), 339–349. </w:t>
      </w:r>
      <w:hyperlink r:id="rId83" w:history="1">
        <w:r w:rsidRPr="005C6913">
          <w:rPr>
            <w:rStyle w:val="Hyperlink"/>
          </w:rPr>
          <w:t>https://doi.org/10.1016/j.concog.2007.06.014</w:t>
        </w:r>
      </w:hyperlink>
    </w:p>
    <w:p w14:paraId="52B23F95" w14:textId="77777777" w:rsidR="005C6913" w:rsidRPr="005C6913" w:rsidRDefault="005C6913" w:rsidP="006C48FC">
      <w:pPr>
        <w:pStyle w:val="Bibentry"/>
        <w:numPr>
          <w:ilvl w:val="0"/>
          <w:numId w:val="32"/>
        </w:numPr>
      </w:pPr>
      <w:r w:rsidRPr="005C6913">
        <w:t xml:space="preserve">Ohlsen, G., Van Zoest, W., &amp; Van </w:t>
      </w:r>
      <w:proofErr w:type="spellStart"/>
      <w:r w:rsidRPr="005C6913">
        <w:t>Vugt</w:t>
      </w:r>
      <w:proofErr w:type="spellEnd"/>
      <w:r w:rsidRPr="005C6913">
        <w:t xml:space="preserve">, M. (2013). Gender and Facial Dominance in Gaze Cuing: Emotional Context Matters in the Eyes That We Follow. </w:t>
      </w:r>
      <w:proofErr w:type="spellStart"/>
      <w:r w:rsidRPr="005C6913">
        <w:rPr>
          <w:i/>
          <w:iCs/>
        </w:rPr>
        <w:t>PLoS</w:t>
      </w:r>
      <w:proofErr w:type="spellEnd"/>
      <w:r w:rsidRPr="005C6913">
        <w:rPr>
          <w:i/>
          <w:iCs/>
        </w:rPr>
        <w:t xml:space="preserve"> ONE</w:t>
      </w:r>
      <w:r w:rsidRPr="005C6913">
        <w:t xml:space="preserve">, </w:t>
      </w:r>
      <w:r w:rsidRPr="005C6913">
        <w:rPr>
          <w:i/>
          <w:iCs/>
        </w:rPr>
        <w:t>8</w:t>
      </w:r>
      <w:r w:rsidRPr="005C6913">
        <w:t xml:space="preserve">(4), e59471. </w:t>
      </w:r>
      <w:hyperlink r:id="rId84" w:history="1">
        <w:r w:rsidRPr="005C6913">
          <w:rPr>
            <w:rStyle w:val="Hyperlink"/>
          </w:rPr>
          <w:t>https://doi.org/10.1371/journal.pone.0059471</w:t>
        </w:r>
      </w:hyperlink>
    </w:p>
    <w:p w14:paraId="1B3E27E6" w14:textId="77777777" w:rsidR="005C6913" w:rsidRPr="005C6913" w:rsidRDefault="005C6913" w:rsidP="006C48FC">
      <w:pPr>
        <w:pStyle w:val="Bibentry"/>
        <w:numPr>
          <w:ilvl w:val="0"/>
          <w:numId w:val="32"/>
        </w:numPr>
      </w:pPr>
      <w:r w:rsidRPr="005C6913">
        <w:t xml:space="preserve">Pavan, G., Dalmaso, M., Galfano, G., &amp; Castelli, L. (2011). Racial Group Membership Is Associated to Gaze-Mediated Orienting in Italy. </w:t>
      </w:r>
      <w:proofErr w:type="spellStart"/>
      <w:r w:rsidRPr="005C6913">
        <w:rPr>
          <w:i/>
          <w:iCs/>
        </w:rPr>
        <w:t>PLoS</w:t>
      </w:r>
      <w:proofErr w:type="spellEnd"/>
      <w:r w:rsidRPr="005C6913">
        <w:rPr>
          <w:i/>
          <w:iCs/>
        </w:rPr>
        <w:t xml:space="preserve"> ONE</w:t>
      </w:r>
      <w:r w:rsidRPr="005C6913">
        <w:t xml:space="preserve">, </w:t>
      </w:r>
      <w:r w:rsidRPr="005C6913">
        <w:rPr>
          <w:i/>
          <w:iCs/>
        </w:rPr>
        <w:t>6</w:t>
      </w:r>
      <w:r w:rsidRPr="005C6913">
        <w:t xml:space="preserve">(10), e25608. </w:t>
      </w:r>
      <w:hyperlink r:id="rId85" w:history="1">
        <w:r w:rsidRPr="005C6913">
          <w:rPr>
            <w:rStyle w:val="Hyperlink"/>
          </w:rPr>
          <w:t>https://doi.org/10.1371/journal.pone.0025608</w:t>
        </w:r>
      </w:hyperlink>
    </w:p>
    <w:p w14:paraId="3A8D6431" w14:textId="77777777" w:rsidR="005C6913" w:rsidRPr="005C6913" w:rsidRDefault="005C6913" w:rsidP="006C48FC">
      <w:pPr>
        <w:pStyle w:val="Bibentry"/>
        <w:numPr>
          <w:ilvl w:val="0"/>
          <w:numId w:val="32"/>
        </w:numPr>
      </w:pPr>
      <w:proofErr w:type="spellStart"/>
      <w:r w:rsidRPr="005C6913">
        <w:t>Pecchinenda</w:t>
      </w:r>
      <w:proofErr w:type="spellEnd"/>
      <w:r w:rsidRPr="005C6913">
        <w:t xml:space="preserve">, A., &amp; Petrucci, M. (2016). Emotion Unchained: Facial Expression Modulates Gaze Cueing under Cognitive Load. </w:t>
      </w:r>
      <w:r w:rsidRPr="005C6913">
        <w:rPr>
          <w:i/>
          <w:iCs/>
        </w:rPr>
        <w:t>PLOS ONE</w:t>
      </w:r>
      <w:r w:rsidRPr="005C6913">
        <w:t xml:space="preserve">, </w:t>
      </w:r>
      <w:r w:rsidRPr="005C6913">
        <w:rPr>
          <w:i/>
          <w:iCs/>
        </w:rPr>
        <w:t>11</w:t>
      </w:r>
      <w:r w:rsidRPr="005C6913">
        <w:t xml:space="preserve">(12), e0168111. </w:t>
      </w:r>
      <w:hyperlink r:id="rId86" w:history="1">
        <w:r w:rsidRPr="005C6913">
          <w:rPr>
            <w:rStyle w:val="Hyperlink"/>
          </w:rPr>
          <w:t>https://doi.org/10.1371/journal.pone.0168111</w:t>
        </w:r>
      </w:hyperlink>
    </w:p>
    <w:p w14:paraId="5D498A22" w14:textId="77777777" w:rsidR="005C6913" w:rsidRPr="005C6913" w:rsidRDefault="005C6913" w:rsidP="006C48FC">
      <w:pPr>
        <w:pStyle w:val="Bibentry"/>
        <w:numPr>
          <w:ilvl w:val="0"/>
          <w:numId w:val="32"/>
        </w:numPr>
      </w:pPr>
      <w:proofErr w:type="spellStart"/>
      <w:r w:rsidRPr="005C6913">
        <w:t>Pletti</w:t>
      </w:r>
      <w:proofErr w:type="spellEnd"/>
      <w:r w:rsidRPr="005C6913">
        <w:t xml:space="preserve">, C., Dalmaso, M., Sarlo, M., &amp; Galfano, G. (2015). Gaze cuing of attention in snake phobic women: The influence of facial expression. </w:t>
      </w:r>
      <w:r w:rsidRPr="005C6913">
        <w:rPr>
          <w:i/>
          <w:iCs/>
        </w:rPr>
        <w:t>Frontiers in Psychology</w:t>
      </w:r>
      <w:r w:rsidRPr="005C6913">
        <w:t xml:space="preserve">, </w:t>
      </w:r>
      <w:r w:rsidRPr="005C6913">
        <w:rPr>
          <w:i/>
          <w:iCs/>
        </w:rPr>
        <w:t>6</w:t>
      </w:r>
      <w:r w:rsidRPr="005C6913">
        <w:t xml:space="preserve">. </w:t>
      </w:r>
      <w:hyperlink r:id="rId87" w:history="1">
        <w:r w:rsidRPr="005C6913">
          <w:rPr>
            <w:rStyle w:val="Hyperlink"/>
          </w:rPr>
          <w:t>https://doi.org/10.3389/fpsyg.2015.00454</w:t>
        </w:r>
      </w:hyperlink>
    </w:p>
    <w:p w14:paraId="69452E7D" w14:textId="77777777" w:rsidR="005C6913" w:rsidRPr="005C6913" w:rsidRDefault="005C6913" w:rsidP="006C48FC">
      <w:pPr>
        <w:pStyle w:val="Bibentry"/>
        <w:numPr>
          <w:ilvl w:val="0"/>
          <w:numId w:val="32"/>
        </w:numPr>
      </w:pPr>
      <w:proofErr w:type="spellStart"/>
      <w:r w:rsidRPr="005C6913">
        <w:t>Ponari</w:t>
      </w:r>
      <w:proofErr w:type="spellEnd"/>
      <w:r w:rsidRPr="005C6913">
        <w:t xml:space="preserve">, M., Trojano, L., Grossi, D., &amp; Conson, M. (2013). “Avoiding or approaching eyes”? Introversion/extraversion affects the gaze-cueing effect. </w:t>
      </w:r>
      <w:r w:rsidRPr="005C6913">
        <w:rPr>
          <w:i/>
          <w:iCs/>
        </w:rPr>
        <w:t>Cognitive Processing</w:t>
      </w:r>
      <w:r w:rsidRPr="005C6913">
        <w:t xml:space="preserve">, </w:t>
      </w:r>
      <w:r w:rsidRPr="005C6913">
        <w:rPr>
          <w:i/>
          <w:iCs/>
        </w:rPr>
        <w:t>14</w:t>
      </w:r>
      <w:r w:rsidRPr="005C6913">
        <w:t xml:space="preserve">(3), 293–299. </w:t>
      </w:r>
      <w:hyperlink r:id="rId88" w:history="1">
        <w:r w:rsidRPr="005C6913">
          <w:rPr>
            <w:rStyle w:val="Hyperlink"/>
          </w:rPr>
          <w:t>https://doi.org/10.1007/s10339-013-0559-z</w:t>
        </w:r>
      </w:hyperlink>
    </w:p>
    <w:p w14:paraId="1E156015" w14:textId="77777777" w:rsidR="005C6913" w:rsidRPr="005C6913" w:rsidRDefault="005C6913" w:rsidP="006C48FC">
      <w:pPr>
        <w:pStyle w:val="Bibentry"/>
        <w:numPr>
          <w:ilvl w:val="0"/>
          <w:numId w:val="32"/>
        </w:numPr>
      </w:pPr>
      <w:r w:rsidRPr="005C6913">
        <w:t xml:space="preserve">Porciello, G., Holmes, B. S., Liuzza, M. T., </w:t>
      </w:r>
      <w:proofErr w:type="spellStart"/>
      <w:r w:rsidRPr="005C6913">
        <w:t>Crostella</w:t>
      </w:r>
      <w:proofErr w:type="spellEnd"/>
      <w:r w:rsidRPr="005C6913">
        <w:t xml:space="preserve">, F., Aglioti, S. M., &amp; </w:t>
      </w:r>
      <w:proofErr w:type="spellStart"/>
      <w:r w:rsidRPr="005C6913">
        <w:t>Bufalari</w:t>
      </w:r>
      <w:proofErr w:type="spellEnd"/>
      <w:r w:rsidRPr="005C6913">
        <w:t>, I. (2014). Interpersonal Multisensory Stimulation reduces the overwhelming distracting power of self-gaze: Psychophysical evidence for ‘</w:t>
      </w:r>
      <w:proofErr w:type="spellStart"/>
      <w:r w:rsidRPr="005C6913">
        <w:t>engazement</w:t>
      </w:r>
      <w:proofErr w:type="spellEnd"/>
      <w:r w:rsidRPr="005C6913">
        <w:t xml:space="preserve">.’ </w:t>
      </w:r>
      <w:r w:rsidRPr="005C6913">
        <w:rPr>
          <w:i/>
          <w:iCs/>
        </w:rPr>
        <w:t>Scientific Reports</w:t>
      </w:r>
      <w:r w:rsidRPr="005C6913">
        <w:t xml:space="preserve">, </w:t>
      </w:r>
      <w:r w:rsidRPr="005C6913">
        <w:rPr>
          <w:i/>
          <w:iCs/>
        </w:rPr>
        <w:t>4</w:t>
      </w:r>
      <w:r w:rsidRPr="005C6913">
        <w:t xml:space="preserve">(1), 6669. </w:t>
      </w:r>
      <w:hyperlink r:id="rId89" w:history="1">
        <w:r w:rsidRPr="005C6913">
          <w:rPr>
            <w:rStyle w:val="Hyperlink"/>
          </w:rPr>
          <w:t>https://doi.org/10.1038/srep06669</w:t>
        </w:r>
      </w:hyperlink>
    </w:p>
    <w:p w14:paraId="3513C3F8" w14:textId="77777777" w:rsidR="005C6913" w:rsidRPr="005C6913" w:rsidRDefault="005C6913" w:rsidP="006C48FC">
      <w:pPr>
        <w:pStyle w:val="Bibentry"/>
        <w:numPr>
          <w:ilvl w:val="0"/>
          <w:numId w:val="32"/>
        </w:numPr>
      </w:pPr>
      <w:r w:rsidRPr="005C6913">
        <w:t xml:space="preserve">Posner, M. I. (1980). Orienting of Attention. </w:t>
      </w:r>
      <w:r w:rsidRPr="005C6913">
        <w:rPr>
          <w:i/>
          <w:iCs/>
        </w:rPr>
        <w:t>Quarterly Journal of Experimental Psychology</w:t>
      </w:r>
      <w:r w:rsidRPr="005C6913">
        <w:t xml:space="preserve">, </w:t>
      </w:r>
      <w:r w:rsidRPr="005C6913">
        <w:rPr>
          <w:i/>
          <w:iCs/>
        </w:rPr>
        <w:t>32</w:t>
      </w:r>
      <w:r w:rsidRPr="005C6913">
        <w:t xml:space="preserve">(1), 3–25. </w:t>
      </w:r>
      <w:hyperlink r:id="rId90" w:history="1">
        <w:r w:rsidRPr="005C6913">
          <w:rPr>
            <w:rStyle w:val="Hyperlink"/>
          </w:rPr>
          <w:t>https://doi.org/10.1080/00335558008248231</w:t>
        </w:r>
      </w:hyperlink>
    </w:p>
    <w:p w14:paraId="5251DFBA" w14:textId="77777777" w:rsidR="005C6913" w:rsidRPr="005C6913" w:rsidRDefault="005C6913" w:rsidP="006C48FC">
      <w:pPr>
        <w:pStyle w:val="Bibentry"/>
        <w:numPr>
          <w:ilvl w:val="0"/>
          <w:numId w:val="32"/>
        </w:numPr>
      </w:pPr>
      <w:r w:rsidRPr="005C6913">
        <w:t xml:space="preserve">Proctor, R. W., Miles, J. D., &amp; Baroni, G. (2011). Reaction time distribution analysis of spatial correspondence effects. </w:t>
      </w:r>
      <w:r w:rsidRPr="005C6913">
        <w:rPr>
          <w:i/>
          <w:iCs/>
        </w:rPr>
        <w:t>Psychonomic Bulletin &amp; Review</w:t>
      </w:r>
      <w:r w:rsidRPr="005C6913">
        <w:t xml:space="preserve">, </w:t>
      </w:r>
      <w:r w:rsidRPr="005C6913">
        <w:rPr>
          <w:i/>
          <w:iCs/>
        </w:rPr>
        <w:t>18</w:t>
      </w:r>
      <w:r w:rsidRPr="005C6913">
        <w:t xml:space="preserve">(2), 242–266. </w:t>
      </w:r>
      <w:hyperlink r:id="rId91" w:history="1">
        <w:r w:rsidRPr="005C6913">
          <w:rPr>
            <w:rStyle w:val="Hyperlink"/>
          </w:rPr>
          <w:t>https://doi.org/10.3758/s13423-011-0053-5</w:t>
        </w:r>
      </w:hyperlink>
    </w:p>
    <w:p w14:paraId="2A00CC39" w14:textId="77777777" w:rsidR="005C6913" w:rsidRPr="005C6913" w:rsidRDefault="005C6913" w:rsidP="006C48FC">
      <w:pPr>
        <w:pStyle w:val="Bibentry"/>
        <w:numPr>
          <w:ilvl w:val="0"/>
          <w:numId w:val="32"/>
        </w:numPr>
        <w:rPr>
          <w:lang w:val="de-DE"/>
        </w:rPr>
      </w:pPr>
      <w:r w:rsidRPr="005C6913">
        <w:lastRenderedPageBreak/>
        <w:t xml:space="preserve">Schneider, W., Eschman, A., &amp; Zuccolotto, A. (2002). </w:t>
      </w:r>
      <w:r w:rsidRPr="005C6913">
        <w:rPr>
          <w:i/>
          <w:iCs/>
          <w:lang w:val="de-DE"/>
        </w:rPr>
        <w:t>E-Prime</w:t>
      </w:r>
      <w:r w:rsidRPr="005C6913">
        <w:rPr>
          <w:lang w:val="de-DE"/>
        </w:rPr>
        <w:t xml:space="preserve"> (Version </w:t>
      </w:r>
      <w:proofErr w:type="spellStart"/>
      <w:r w:rsidRPr="005C6913">
        <w:rPr>
          <w:lang w:val="de-DE"/>
        </w:rPr>
        <w:t>Version</w:t>
      </w:r>
      <w:proofErr w:type="spellEnd"/>
      <w:r w:rsidRPr="005C6913">
        <w:rPr>
          <w:lang w:val="de-DE"/>
        </w:rPr>
        <w:t xml:space="preserve"> 2.0) [Computer </w:t>
      </w:r>
      <w:proofErr w:type="spellStart"/>
      <w:r w:rsidRPr="005C6913">
        <w:rPr>
          <w:lang w:val="de-DE"/>
        </w:rPr>
        <w:t>software</w:t>
      </w:r>
      <w:proofErr w:type="spellEnd"/>
      <w:r w:rsidRPr="005C6913">
        <w:rPr>
          <w:lang w:val="de-DE"/>
        </w:rPr>
        <w:t xml:space="preserve">]. </w:t>
      </w:r>
      <w:proofErr w:type="spellStart"/>
      <w:r w:rsidRPr="005C6913">
        <w:rPr>
          <w:lang w:val="de-DE"/>
        </w:rPr>
        <w:t>Psychology</w:t>
      </w:r>
      <w:proofErr w:type="spellEnd"/>
      <w:r w:rsidRPr="005C6913">
        <w:rPr>
          <w:lang w:val="de-DE"/>
        </w:rPr>
        <w:t xml:space="preserve"> Software Tools Inc.</w:t>
      </w:r>
    </w:p>
    <w:p w14:paraId="7BA75E86" w14:textId="77777777" w:rsidR="005C6913" w:rsidRPr="005C6913" w:rsidRDefault="005C6913" w:rsidP="006C48FC">
      <w:pPr>
        <w:pStyle w:val="Bibentry"/>
        <w:numPr>
          <w:ilvl w:val="0"/>
          <w:numId w:val="32"/>
        </w:numPr>
      </w:pPr>
      <w:r w:rsidRPr="005C6913">
        <w:rPr>
          <w:lang w:val="de-DE"/>
        </w:rPr>
        <w:t xml:space="preserve">Schulz, J., </w:t>
      </w:r>
      <w:proofErr w:type="spellStart"/>
      <w:r w:rsidRPr="005C6913">
        <w:rPr>
          <w:lang w:val="de-DE"/>
        </w:rPr>
        <w:t>Velichkovsky</w:t>
      </w:r>
      <w:proofErr w:type="spellEnd"/>
      <w:r w:rsidRPr="005C6913">
        <w:rPr>
          <w:lang w:val="de-DE"/>
        </w:rPr>
        <w:t xml:space="preserve">, B. M., &amp; Helmert, J. R. (2014). </w:t>
      </w:r>
      <w:r w:rsidRPr="005C6913">
        <w:t xml:space="preserve">Spontaneous adoption of the gaze cue’s perspective in a 3-D version of the noninformative gaze-cueing paradigm. </w:t>
      </w:r>
      <w:r w:rsidRPr="005C6913">
        <w:rPr>
          <w:i/>
          <w:iCs/>
        </w:rPr>
        <w:t>Visual Cognition</w:t>
      </w:r>
      <w:r w:rsidRPr="005C6913">
        <w:t xml:space="preserve">, </w:t>
      </w:r>
      <w:r w:rsidRPr="005C6913">
        <w:rPr>
          <w:i/>
          <w:iCs/>
        </w:rPr>
        <w:t>22</w:t>
      </w:r>
      <w:r w:rsidRPr="005C6913">
        <w:t xml:space="preserve">(1), 1–10. </w:t>
      </w:r>
      <w:hyperlink r:id="rId92" w:history="1">
        <w:r w:rsidRPr="005C6913">
          <w:rPr>
            <w:rStyle w:val="Hyperlink"/>
          </w:rPr>
          <w:t>https://doi.org/10.1080/13506285.2013.864739</w:t>
        </w:r>
      </w:hyperlink>
    </w:p>
    <w:p w14:paraId="5EE2473E" w14:textId="77777777" w:rsidR="005C6913" w:rsidRPr="005C6913" w:rsidRDefault="005C6913" w:rsidP="006C48FC">
      <w:pPr>
        <w:pStyle w:val="Bibentry"/>
        <w:numPr>
          <w:ilvl w:val="0"/>
          <w:numId w:val="32"/>
        </w:numPr>
      </w:pPr>
      <w:r w:rsidRPr="005C6913">
        <w:t xml:space="preserve">Shergill, S. S., Bays, P. M., Frith, C. D., &amp; Wolpert, D. M. (2003). Two Eyes for an Eye: The Neuroscience of Force Escalation. </w:t>
      </w:r>
      <w:r w:rsidRPr="005C6913">
        <w:rPr>
          <w:i/>
          <w:iCs/>
        </w:rPr>
        <w:t>Science</w:t>
      </w:r>
      <w:r w:rsidRPr="005C6913">
        <w:t xml:space="preserve">, </w:t>
      </w:r>
      <w:r w:rsidRPr="005C6913">
        <w:rPr>
          <w:i/>
          <w:iCs/>
        </w:rPr>
        <w:t>301</w:t>
      </w:r>
      <w:r w:rsidRPr="005C6913">
        <w:t xml:space="preserve">(5630), 187–187. </w:t>
      </w:r>
      <w:hyperlink r:id="rId93" w:history="1">
        <w:r w:rsidRPr="005C6913">
          <w:rPr>
            <w:rStyle w:val="Hyperlink"/>
          </w:rPr>
          <w:t>https://doi.org/10.1126/science.1085327</w:t>
        </w:r>
      </w:hyperlink>
    </w:p>
    <w:p w14:paraId="29D40C70" w14:textId="77777777" w:rsidR="005C6913" w:rsidRPr="005C6913" w:rsidRDefault="005C6913" w:rsidP="006C48FC">
      <w:pPr>
        <w:pStyle w:val="Bibentry"/>
        <w:numPr>
          <w:ilvl w:val="0"/>
          <w:numId w:val="32"/>
        </w:numPr>
      </w:pPr>
      <w:r w:rsidRPr="005C6913">
        <w:t xml:space="preserve">Slessor, G., Phillips, L. H., &amp; Bull, R. (2008). Age-related declines in basic social perception: Evidence from tasks assessing eye-gaze processing. </w:t>
      </w:r>
      <w:r w:rsidRPr="005C6913">
        <w:rPr>
          <w:i/>
          <w:iCs/>
        </w:rPr>
        <w:t>Psychology and Aging</w:t>
      </w:r>
      <w:r w:rsidRPr="005C6913">
        <w:t xml:space="preserve">, </w:t>
      </w:r>
      <w:r w:rsidRPr="005C6913">
        <w:rPr>
          <w:i/>
          <w:iCs/>
        </w:rPr>
        <w:t>23</w:t>
      </w:r>
      <w:r w:rsidRPr="005C6913">
        <w:t xml:space="preserve">(4), 812–822. </w:t>
      </w:r>
      <w:hyperlink r:id="rId94" w:history="1">
        <w:r w:rsidRPr="005C6913">
          <w:rPr>
            <w:rStyle w:val="Hyperlink"/>
          </w:rPr>
          <w:t>https://doi.org/10.1037/a0014348</w:t>
        </w:r>
      </w:hyperlink>
    </w:p>
    <w:p w14:paraId="46EDE247" w14:textId="77777777" w:rsidR="005C6913" w:rsidRPr="005C6913" w:rsidRDefault="005C6913" w:rsidP="006C48FC">
      <w:pPr>
        <w:pStyle w:val="Bibentry"/>
        <w:numPr>
          <w:ilvl w:val="0"/>
          <w:numId w:val="32"/>
        </w:numPr>
        <w:rPr>
          <w:lang w:val="de-DE"/>
        </w:rPr>
      </w:pPr>
      <w:r w:rsidRPr="005C6913">
        <w:t xml:space="preserve">Slessor, G., Phillips, L. H., &amp; Bull, R. (2010). Age-related changes in the integration of gaze direction and facial expressions of emotion. </w:t>
      </w:r>
      <w:r w:rsidRPr="005C6913">
        <w:rPr>
          <w:i/>
          <w:iCs/>
          <w:lang w:val="de-DE"/>
        </w:rPr>
        <w:t>Emotion</w:t>
      </w:r>
      <w:r w:rsidRPr="005C6913">
        <w:rPr>
          <w:lang w:val="de-DE"/>
        </w:rPr>
        <w:t xml:space="preserve">, </w:t>
      </w:r>
      <w:r w:rsidRPr="005C6913">
        <w:rPr>
          <w:i/>
          <w:iCs/>
          <w:lang w:val="de-DE"/>
        </w:rPr>
        <w:t>10</w:t>
      </w:r>
      <w:r w:rsidRPr="005C6913">
        <w:rPr>
          <w:lang w:val="de-DE"/>
        </w:rPr>
        <w:t xml:space="preserve">(4), 555–562. </w:t>
      </w:r>
      <w:hyperlink r:id="rId95" w:history="1">
        <w:r w:rsidRPr="005C6913">
          <w:rPr>
            <w:rStyle w:val="Hyperlink"/>
            <w:lang w:val="de-DE"/>
          </w:rPr>
          <w:t>https://doi.org/10.1037/a0019152</w:t>
        </w:r>
      </w:hyperlink>
    </w:p>
    <w:p w14:paraId="2F0EA379" w14:textId="77777777" w:rsidR="005C6913" w:rsidRPr="005C6913" w:rsidRDefault="005C6913" w:rsidP="006C48FC">
      <w:pPr>
        <w:pStyle w:val="Bibentry"/>
        <w:numPr>
          <w:ilvl w:val="0"/>
          <w:numId w:val="32"/>
        </w:numPr>
      </w:pPr>
      <w:proofErr w:type="spellStart"/>
      <w:r w:rsidRPr="005C6913">
        <w:rPr>
          <w:lang w:val="de-DE"/>
        </w:rPr>
        <w:t>Slessor</w:t>
      </w:r>
      <w:proofErr w:type="spellEnd"/>
      <w:r w:rsidRPr="005C6913">
        <w:rPr>
          <w:lang w:val="de-DE"/>
        </w:rPr>
        <w:t xml:space="preserve">, G., Venturini, C., Bonny, E. J., </w:t>
      </w:r>
      <w:proofErr w:type="spellStart"/>
      <w:r w:rsidRPr="005C6913">
        <w:rPr>
          <w:lang w:val="de-DE"/>
        </w:rPr>
        <w:t>Insch</w:t>
      </w:r>
      <w:proofErr w:type="spellEnd"/>
      <w:r w:rsidRPr="005C6913">
        <w:rPr>
          <w:lang w:val="de-DE"/>
        </w:rPr>
        <w:t xml:space="preserve">, P. M., </w:t>
      </w:r>
      <w:proofErr w:type="spellStart"/>
      <w:r w:rsidRPr="005C6913">
        <w:rPr>
          <w:lang w:val="de-DE"/>
        </w:rPr>
        <w:t>Rokaszewicz</w:t>
      </w:r>
      <w:proofErr w:type="spellEnd"/>
      <w:r w:rsidRPr="005C6913">
        <w:rPr>
          <w:lang w:val="de-DE"/>
        </w:rPr>
        <w:t xml:space="preserve">, A., &amp; </w:t>
      </w:r>
      <w:proofErr w:type="spellStart"/>
      <w:r w:rsidRPr="005C6913">
        <w:rPr>
          <w:lang w:val="de-DE"/>
        </w:rPr>
        <w:t>Finnerty</w:t>
      </w:r>
      <w:proofErr w:type="spellEnd"/>
      <w:r w:rsidRPr="005C6913">
        <w:rPr>
          <w:lang w:val="de-DE"/>
        </w:rPr>
        <w:t xml:space="preserve">, A. N. (2016). </w:t>
      </w:r>
      <w:r w:rsidRPr="005C6913">
        <w:t xml:space="preserve">Specificity of Age-Related Differences in Eye-Gaze Following: Evidence </w:t>
      </w:r>
      <w:proofErr w:type="gramStart"/>
      <w:r w:rsidRPr="005C6913">
        <w:t>From</w:t>
      </w:r>
      <w:proofErr w:type="gramEnd"/>
      <w:r w:rsidRPr="005C6913">
        <w:t xml:space="preserve"> Social and Nonsocial Stimuli. </w:t>
      </w:r>
      <w:r w:rsidRPr="005C6913">
        <w:rPr>
          <w:i/>
          <w:iCs/>
        </w:rPr>
        <w:t>The Journals of Gerontology Series B: Psychological Sciences and Social Sciences</w:t>
      </w:r>
      <w:r w:rsidRPr="005C6913">
        <w:t xml:space="preserve">, </w:t>
      </w:r>
      <w:r w:rsidRPr="005C6913">
        <w:rPr>
          <w:i/>
          <w:iCs/>
        </w:rPr>
        <w:t>71</w:t>
      </w:r>
      <w:r w:rsidRPr="005C6913">
        <w:t xml:space="preserve">(1), 11–22. </w:t>
      </w:r>
      <w:hyperlink r:id="rId96" w:history="1">
        <w:r w:rsidRPr="005C6913">
          <w:rPr>
            <w:rStyle w:val="Hyperlink"/>
          </w:rPr>
          <w:t>https://doi.org/10.1093/geronb/gbu088</w:t>
        </w:r>
      </w:hyperlink>
    </w:p>
    <w:p w14:paraId="5FA21F17" w14:textId="77777777" w:rsidR="005C6913" w:rsidRPr="005C6913" w:rsidRDefault="005C6913" w:rsidP="006C48FC">
      <w:pPr>
        <w:pStyle w:val="Bibentry"/>
        <w:numPr>
          <w:ilvl w:val="0"/>
          <w:numId w:val="32"/>
        </w:numPr>
      </w:pPr>
      <w:r w:rsidRPr="005C6913">
        <w:t xml:space="preserve">Stephenson, L. J., Edwards, S. G., Howard, E. E., &amp; Bayliss, A. P. (2018). Eyes that bind us: Gaze leading induces an implicit sense of agency. </w:t>
      </w:r>
      <w:r w:rsidRPr="005C6913">
        <w:rPr>
          <w:i/>
          <w:iCs/>
        </w:rPr>
        <w:t>Cognition</w:t>
      </w:r>
      <w:r w:rsidRPr="005C6913">
        <w:t xml:space="preserve">, </w:t>
      </w:r>
      <w:r w:rsidRPr="005C6913">
        <w:rPr>
          <w:i/>
          <w:iCs/>
        </w:rPr>
        <w:t>172</w:t>
      </w:r>
      <w:r w:rsidRPr="005C6913">
        <w:t xml:space="preserve">, 124–133. </w:t>
      </w:r>
      <w:hyperlink r:id="rId97" w:history="1">
        <w:r w:rsidRPr="005C6913">
          <w:rPr>
            <w:rStyle w:val="Hyperlink"/>
          </w:rPr>
          <w:t>https://doi.org/10.1016/j.cognition.2017.12.011</w:t>
        </w:r>
      </w:hyperlink>
    </w:p>
    <w:p w14:paraId="698F8FCB" w14:textId="77777777" w:rsidR="005C6913" w:rsidRPr="005C6913" w:rsidRDefault="005C6913" w:rsidP="006C48FC">
      <w:pPr>
        <w:pStyle w:val="Bibentry"/>
        <w:numPr>
          <w:ilvl w:val="0"/>
          <w:numId w:val="32"/>
        </w:numPr>
      </w:pPr>
      <w:r w:rsidRPr="005C6913">
        <w:t xml:space="preserve">Strachan, J. W. A., &amp; Tipper, S. P. (2017). Examining the Durability of Incidentally Learned Trust from Gaze Cues. </w:t>
      </w:r>
      <w:r w:rsidRPr="005C6913">
        <w:rPr>
          <w:i/>
          <w:iCs/>
        </w:rPr>
        <w:t>Quarterly Journal of Experimental Psychology</w:t>
      </w:r>
      <w:r w:rsidRPr="005C6913">
        <w:t xml:space="preserve">, </w:t>
      </w:r>
      <w:r w:rsidRPr="005C6913">
        <w:rPr>
          <w:i/>
          <w:iCs/>
        </w:rPr>
        <w:t>70</w:t>
      </w:r>
      <w:r w:rsidRPr="005C6913">
        <w:t xml:space="preserve">(10), 2060–2075. </w:t>
      </w:r>
      <w:hyperlink r:id="rId98" w:history="1">
        <w:r w:rsidRPr="005C6913">
          <w:rPr>
            <w:rStyle w:val="Hyperlink"/>
          </w:rPr>
          <w:t>https://doi.org/10.1080/17470218.2016.1220609</w:t>
        </w:r>
      </w:hyperlink>
    </w:p>
    <w:p w14:paraId="438C41CD" w14:textId="77777777" w:rsidR="005C6913" w:rsidRPr="005C6913" w:rsidRDefault="005C6913" w:rsidP="006C48FC">
      <w:pPr>
        <w:pStyle w:val="Bibentry"/>
        <w:numPr>
          <w:ilvl w:val="0"/>
          <w:numId w:val="32"/>
        </w:numPr>
      </w:pPr>
      <w:proofErr w:type="spellStart"/>
      <w:r w:rsidRPr="005C6913">
        <w:t>Süßenbach</w:t>
      </w:r>
      <w:proofErr w:type="spellEnd"/>
      <w:r w:rsidRPr="005C6913">
        <w:t xml:space="preserve">, F., &amp; </w:t>
      </w:r>
      <w:proofErr w:type="spellStart"/>
      <w:r w:rsidRPr="005C6913">
        <w:t>Schönbrodt</w:t>
      </w:r>
      <w:proofErr w:type="spellEnd"/>
      <w:r w:rsidRPr="005C6913">
        <w:t xml:space="preserve">, F. (2014). Not afraid to trust you: Trustworthiness moderates gaze cueing but not in highly anxious participants. </w:t>
      </w:r>
      <w:r w:rsidRPr="005C6913">
        <w:rPr>
          <w:i/>
          <w:iCs/>
        </w:rPr>
        <w:t>Journal of Cognitive Psychology</w:t>
      </w:r>
      <w:r w:rsidRPr="005C6913">
        <w:t xml:space="preserve">, </w:t>
      </w:r>
      <w:r w:rsidRPr="005C6913">
        <w:rPr>
          <w:i/>
          <w:iCs/>
        </w:rPr>
        <w:t>26</w:t>
      </w:r>
      <w:r w:rsidRPr="005C6913">
        <w:t xml:space="preserve">(6), 670–678. </w:t>
      </w:r>
      <w:hyperlink r:id="rId99" w:history="1">
        <w:r w:rsidRPr="005C6913">
          <w:rPr>
            <w:rStyle w:val="Hyperlink"/>
          </w:rPr>
          <w:t>https://doi.org/10.1080/20445911.2014.945457</w:t>
        </w:r>
      </w:hyperlink>
    </w:p>
    <w:p w14:paraId="76C53441" w14:textId="77777777" w:rsidR="005C6913" w:rsidRPr="005C6913" w:rsidRDefault="005C6913" w:rsidP="006C48FC">
      <w:pPr>
        <w:pStyle w:val="Bibentry"/>
        <w:numPr>
          <w:ilvl w:val="0"/>
          <w:numId w:val="32"/>
        </w:numPr>
      </w:pPr>
      <w:r w:rsidRPr="005C6913">
        <w:t xml:space="preserve">Talipski, L. A., Bell, E., Goodhew, S. C., Dawel, A., &amp; Edwards, M. (2021). Examining the effects of social anxiety and other individual differences on gaze-directed attentional shifts. </w:t>
      </w:r>
      <w:r w:rsidRPr="005C6913">
        <w:rPr>
          <w:i/>
          <w:iCs/>
        </w:rPr>
        <w:t>Quarterly Journal of Experimental Psychology</w:t>
      </w:r>
      <w:r w:rsidRPr="005C6913">
        <w:t xml:space="preserve">, </w:t>
      </w:r>
      <w:r w:rsidRPr="005C6913">
        <w:rPr>
          <w:i/>
          <w:iCs/>
        </w:rPr>
        <w:t>74</w:t>
      </w:r>
      <w:r w:rsidRPr="005C6913">
        <w:t xml:space="preserve">(4), 771–785. </w:t>
      </w:r>
      <w:hyperlink r:id="rId100" w:history="1">
        <w:r w:rsidRPr="005C6913">
          <w:rPr>
            <w:rStyle w:val="Hyperlink"/>
          </w:rPr>
          <w:t>https://doi.org/10.1177/1747021820973954</w:t>
        </w:r>
      </w:hyperlink>
    </w:p>
    <w:p w14:paraId="06729934" w14:textId="77777777" w:rsidR="005C6913" w:rsidRPr="005C6913" w:rsidRDefault="005C6913" w:rsidP="006C48FC">
      <w:pPr>
        <w:pStyle w:val="Bibentry"/>
        <w:numPr>
          <w:ilvl w:val="0"/>
          <w:numId w:val="32"/>
        </w:numPr>
      </w:pPr>
      <w:r w:rsidRPr="005C6913">
        <w:t xml:space="preserve">Teufel, C., Alexis, D. M., Clayton, N. S., &amp; Davis, G. (2010). Mental-state attribution drives rapid, reflexive gaze following. </w:t>
      </w:r>
      <w:r w:rsidRPr="005C6913">
        <w:rPr>
          <w:i/>
          <w:iCs/>
        </w:rPr>
        <w:t>Attention, Perception, &amp; Psychophysics</w:t>
      </w:r>
      <w:r w:rsidRPr="005C6913">
        <w:t xml:space="preserve">, </w:t>
      </w:r>
      <w:r w:rsidRPr="005C6913">
        <w:rPr>
          <w:i/>
          <w:iCs/>
        </w:rPr>
        <w:t>72</w:t>
      </w:r>
      <w:r w:rsidRPr="005C6913">
        <w:t xml:space="preserve">(3), 695–705. </w:t>
      </w:r>
      <w:hyperlink r:id="rId101" w:history="1">
        <w:r w:rsidRPr="005C6913">
          <w:rPr>
            <w:rStyle w:val="Hyperlink"/>
          </w:rPr>
          <w:t>https://doi.org/10.3758/APP.72.3.695</w:t>
        </w:r>
      </w:hyperlink>
    </w:p>
    <w:p w14:paraId="756C0F78" w14:textId="77777777" w:rsidR="005C6913" w:rsidRPr="005C6913" w:rsidRDefault="005C6913" w:rsidP="006C48FC">
      <w:pPr>
        <w:pStyle w:val="Bibentry"/>
        <w:numPr>
          <w:ilvl w:val="0"/>
          <w:numId w:val="32"/>
        </w:numPr>
        <w:rPr>
          <w:lang w:val="de-DE"/>
        </w:rPr>
      </w:pPr>
      <w:r w:rsidRPr="005C6913">
        <w:t xml:space="preserve">Tipples, J. (2006). Fear and fearfulness potentiate automatic orienting to eye gaze. </w:t>
      </w:r>
      <w:proofErr w:type="spellStart"/>
      <w:r w:rsidRPr="005C6913">
        <w:rPr>
          <w:i/>
          <w:iCs/>
          <w:lang w:val="de-DE"/>
        </w:rPr>
        <w:t>Cognition</w:t>
      </w:r>
      <w:proofErr w:type="spellEnd"/>
      <w:r w:rsidRPr="005C6913">
        <w:rPr>
          <w:i/>
          <w:iCs/>
          <w:lang w:val="de-DE"/>
        </w:rPr>
        <w:t xml:space="preserve"> &amp; Emotion</w:t>
      </w:r>
      <w:r w:rsidRPr="005C6913">
        <w:rPr>
          <w:lang w:val="de-DE"/>
        </w:rPr>
        <w:t xml:space="preserve">, </w:t>
      </w:r>
      <w:r w:rsidRPr="005C6913">
        <w:rPr>
          <w:i/>
          <w:iCs/>
          <w:lang w:val="de-DE"/>
        </w:rPr>
        <w:t>20</w:t>
      </w:r>
      <w:r w:rsidRPr="005C6913">
        <w:rPr>
          <w:lang w:val="de-DE"/>
        </w:rPr>
        <w:t xml:space="preserve">(2), 309–320. </w:t>
      </w:r>
      <w:hyperlink r:id="rId102" w:history="1">
        <w:r w:rsidRPr="005C6913">
          <w:rPr>
            <w:rStyle w:val="Hyperlink"/>
            <w:lang w:val="de-DE"/>
          </w:rPr>
          <w:t>https://doi.org/10.1080/02699930500405550</w:t>
        </w:r>
      </w:hyperlink>
    </w:p>
    <w:p w14:paraId="4D9A558B" w14:textId="77777777" w:rsidR="005C6913" w:rsidRPr="005C6913" w:rsidRDefault="005C6913" w:rsidP="006C48FC">
      <w:pPr>
        <w:pStyle w:val="Bibentry"/>
        <w:numPr>
          <w:ilvl w:val="0"/>
          <w:numId w:val="32"/>
        </w:numPr>
      </w:pPr>
      <w:proofErr w:type="spellStart"/>
      <w:r w:rsidRPr="005C6913">
        <w:rPr>
          <w:lang w:val="de-DE"/>
        </w:rPr>
        <w:t>Tollenaar</w:t>
      </w:r>
      <w:proofErr w:type="spellEnd"/>
      <w:r w:rsidRPr="005C6913">
        <w:rPr>
          <w:lang w:val="de-DE"/>
        </w:rPr>
        <w:t xml:space="preserve">, M. S., </w:t>
      </w:r>
      <w:proofErr w:type="spellStart"/>
      <w:r w:rsidRPr="005C6913">
        <w:rPr>
          <w:lang w:val="de-DE"/>
        </w:rPr>
        <w:t>Chatzimanoli</w:t>
      </w:r>
      <w:proofErr w:type="spellEnd"/>
      <w:r w:rsidRPr="005C6913">
        <w:rPr>
          <w:lang w:val="de-DE"/>
        </w:rPr>
        <w:t xml:space="preserve">, M., Van Der Wee, N. J. A., &amp; </w:t>
      </w:r>
      <w:proofErr w:type="spellStart"/>
      <w:r w:rsidRPr="005C6913">
        <w:rPr>
          <w:lang w:val="de-DE"/>
        </w:rPr>
        <w:t>Putman</w:t>
      </w:r>
      <w:proofErr w:type="spellEnd"/>
      <w:r w:rsidRPr="005C6913">
        <w:rPr>
          <w:lang w:val="de-DE"/>
        </w:rPr>
        <w:t xml:space="preserve">, P. (2013). </w:t>
      </w:r>
      <w:r w:rsidRPr="005C6913">
        <w:t xml:space="preserve">Enhanced orienting of attention in response to emotional gaze cues after oxytocin administration in healthy young men. </w:t>
      </w:r>
      <w:proofErr w:type="spellStart"/>
      <w:r w:rsidRPr="005C6913">
        <w:rPr>
          <w:i/>
          <w:iCs/>
        </w:rPr>
        <w:t>Psychoneuroendocrinology</w:t>
      </w:r>
      <w:proofErr w:type="spellEnd"/>
      <w:r w:rsidRPr="005C6913">
        <w:t xml:space="preserve">, </w:t>
      </w:r>
      <w:r w:rsidRPr="005C6913">
        <w:rPr>
          <w:i/>
          <w:iCs/>
        </w:rPr>
        <w:t>38</w:t>
      </w:r>
      <w:r w:rsidRPr="005C6913">
        <w:t xml:space="preserve">(9), 1797–1802. </w:t>
      </w:r>
      <w:hyperlink r:id="rId103" w:history="1">
        <w:r w:rsidRPr="005C6913">
          <w:rPr>
            <w:rStyle w:val="Hyperlink"/>
          </w:rPr>
          <w:t>https://doi.org/10.1016/j.psyneuen.2013.02.018</w:t>
        </w:r>
      </w:hyperlink>
    </w:p>
    <w:p w14:paraId="34D0A584" w14:textId="77777777" w:rsidR="005C6913" w:rsidRPr="005C6913" w:rsidRDefault="005C6913" w:rsidP="006C48FC">
      <w:pPr>
        <w:pStyle w:val="Bibentry"/>
        <w:numPr>
          <w:ilvl w:val="0"/>
          <w:numId w:val="32"/>
        </w:numPr>
      </w:pPr>
      <w:r w:rsidRPr="005C6913">
        <w:t xml:space="preserve">Tomasello, M., Carpenter, M., Call, J., Behne, T., &amp; Moll, H. (2005). Understanding and sharing intentions: The origins of cultural cognition. </w:t>
      </w:r>
      <w:r w:rsidRPr="005C6913">
        <w:rPr>
          <w:i/>
          <w:iCs/>
        </w:rPr>
        <w:t>Behavioral and Brain Sciences</w:t>
      </w:r>
      <w:r w:rsidRPr="005C6913">
        <w:t xml:space="preserve">, </w:t>
      </w:r>
      <w:r w:rsidRPr="005C6913">
        <w:rPr>
          <w:i/>
          <w:iCs/>
        </w:rPr>
        <w:t>28</w:t>
      </w:r>
      <w:r w:rsidRPr="005C6913">
        <w:t xml:space="preserve">(5), 675–691. </w:t>
      </w:r>
      <w:hyperlink r:id="rId104" w:history="1">
        <w:r w:rsidRPr="005C6913">
          <w:rPr>
            <w:rStyle w:val="Hyperlink"/>
          </w:rPr>
          <w:t>https://doi.org/10.1017/S0140525X05000129</w:t>
        </w:r>
      </w:hyperlink>
    </w:p>
    <w:p w14:paraId="436A81A2" w14:textId="77777777" w:rsidR="005C6913" w:rsidRPr="005C6913" w:rsidRDefault="005C6913" w:rsidP="006C48FC">
      <w:pPr>
        <w:pStyle w:val="Bibentry"/>
        <w:numPr>
          <w:ilvl w:val="0"/>
          <w:numId w:val="32"/>
        </w:numPr>
      </w:pPr>
      <w:r w:rsidRPr="005C6913">
        <w:t xml:space="preserve">Wegner, D. M., Sparrow, B., &amp; </w:t>
      </w:r>
      <w:proofErr w:type="spellStart"/>
      <w:r w:rsidRPr="005C6913">
        <w:t>Winerman</w:t>
      </w:r>
      <w:proofErr w:type="spellEnd"/>
      <w:r w:rsidRPr="005C6913">
        <w:t xml:space="preserve">, L. (2004). Vicarious Agency: Experiencing Control Over the Movements of Others. </w:t>
      </w:r>
      <w:r w:rsidRPr="005C6913">
        <w:rPr>
          <w:i/>
          <w:iCs/>
        </w:rPr>
        <w:t>Journal of Personality and Social Psychology</w:t>
      </w:r>
      <w:r w:rsidRPr="005C6913">
        <w:t xml:space="preserve">, </w:t>
      </w:r>
      <w:r w:rsidRPr="005C6913">
        <w:rPr>
          <w:i/>
          <w:iCs/>
        </w:rPr>
        <w:t>86</w:t>
      </w:r>
      <w:r w:rsidRPr="005C6913">
        <w:t xml:space="preserve">(6), 838–848. </w:t>
      </w:r>
      <w:hyperlink r:id="rId105" w:history="1">
        <w:r w:rsidRPr="005C6913">
          <w:rPr>
            <w:rStyle w:val="Hyperlink"/>
          </w:rPr>
          <w:t>https://doi.org/10.1037/0022-3514.86.6.838</w:t>
        </w:r>
      </w:hyperlink>
    </w:p>
    <w:p w14:paraId="67FC0508" w14:textId="77777777" w:rsidR="005C6913" w:rsidRPr="005C6913" w:rsidRDefault="005C6913" w:rsidP="006C48FC">
      <w:pPr>
        <w:pStyle w:val="Bibentry"/>
        <w:numPr>
          <w:ilvl w:val="0"/>
          <w:numId w:val="32"/>
        </w:numPr>
      </w:pPr>
      <w:r w:rsidRPr="005C6913">
        <w:t xml:space="preserve">Wen, W., &amp; </w:t>
      </w:r>
      <w:proofErr w:type="spellStart"/>
      <w:r w:rsidRPr="005C6913">
        <w:t>Imamizu</w:t>
      </w:r>
      <w:proofErr w:type="spellEnd"/>
      <w:r w:rsidRPr="005C6913">
        <w:t xml:space="preserve">, H. (2022). The sense of agency in perception, </w:t>
      </w:r>
      <w:proofErr w:type="spellStart"/>
      <w:r w:rsidRPr="005C6913">
        <w:t>behaviour</w:t>
      </w:r>
      <w:proofErr w:type="spellEnd"/>
      <w:r w:rsidRPr="005C6913">
        <w:t xml:space="preserve"> and human–machine interactions. </w:t>
      </w:r>
      <w:r w:rsidRPr="005C6913">
        <w:rPr>
          <w:i/>
          <w:iCs/>
        </w:rPr>
        <w:t>Nature Reviews Psychology</w:t>
      </w:r>
      <w:r w:rsidRPr="005C6913">
        <w:t xml:space="preserve">, </w:t>
      </w:r>
      <w:r w:rsidRPr="005C6913">
        <w:rPr>
          <w:i/>
          <w:iCs/>
        </w:rPr>
        <w:t>1</w:t>
      </w:r>
      <w:r w:rsidRPr="005C6913">
        <w:t xml:space="preserve">(4), 211–222. </w:t>
      </w:r>
      <w:hyperlink r:id="rId106" w:history="1">
        <w:r w:rsidRPr="005C6913">
          <w:rPr>
            <w:rStyle w:val="Hyperlink"/>
          </w:rPr>
          <w:t>https://doi.org/10.1038/s44159-022-00030-6</w:t>
        </w:r>
      </w:hyperlink>
    </w:p>
    <w:p w14:paraId="4A59F44C" w14:textId="77777777" w:rsidR="005C6913" w:rsidRPr="005C6913" w:rsidRDefault="005C6913" w:rsidP="006C48FC">
      <w:pPr>
        <w:pStyle w:val="Bibentry"/>
        <w:numPr>
          <w:ilvl w:val="0"/>
          <w:numId w:val="32"/>
        </w:numPr>
        <w:rPr>
          <w:lang w:val="de-DE"/>
        </w:rPr>
      </w:pPr>
      <w:r w:rsidRPr="005C6913">
        <w:t xml:space="preserve">Wenke, D., Fleming, S. M., &amp; Haggard, P. (2010). Subliminal priming of actions influences sense of control over effects of action. </w:t>
      </w:r>
      <w:proofErr w:type="spellStart"/>
      <w:r w:rsidRPr="005C6913">
        <w:rPr>
          <w:i/>
          <w:iCs/>
          <w:lang w:val="de-DE"/>
        </w:rPr>
        <w:t>Cognition</w:t>
      </w:r>
      <w:proofErr w:type="spellEnd"/>
      <w:r w:rsidRPr="005C6913">
        <w:rPr>
          <w:lang w:val="de-DE"/>
        </w:rPr>
        <w:t xml:space="preserve">, </w:t>
      </w:r>
      <w:r w:rsidRPr="005C6913">
        <w:rPr>
          <w:i/>
          <w:iCs/>
          <w:lang w:val="de-DE"/>
        </w:rPr>
        <w:t>115</w:t>
      </w:r>
      <w:r w:rsidRPr="005C6913">
        <w:rPr>
          <w:lang w:val="de-DE"/>
        </w:rPr>
        <w:t xml:space="preserve">(1), 26–38. </w:t>
      </w:r>
      <w:hyperlink r:id="rId107" w:history="1">
        <w:r w:rsidRPr="005C6913">
          <w:rPr>
            <w:rStyle w:val="Hyperlink"/>
            <w:lang w:val="de-DE"/>
          </w:rPr>
          <w:t>https://doi.org/10.1016/j.cognition.2009.10.016</w:t>
        </w:r>
      </w:hyperlink>
    </w:p>
    <w:p w14:paraId="77FDF321" w14:textId="77777777" w:rsidR="005C6913" w:rsidRPr="005C6913" w:rsidRDefault="005C6913" w:rsidP="006C48FC">
      <w:pPr>
        <w:pStyle w:val="Bibentry"/>
        <w:numPr>
          <w:ilvl w:val="0"/>
          <w:numId w:val="32"/>
        </w:numPr>
      </w:pPr>
      <w:r w:rsidRPr="005C6913">
        <w:rPr>
          <w:lang w:val="de-DE"/>
        </w:rPr>
        <w:t xml:space="preserve">Wiese, E., </w:t>
      </w:r>
      <w:proofErr w:type="spellStart"/>
      <w:r w:rsidRPr="005C6913">
        <w:rPr>
          <w:lang w:val="de-DE"/>
        </w:rPr>
        <w:t>Wykowska</w:t>
      </w:r>
      <w:proofErr w:type="spellEnd"/>
      <w:r w:rsidRPr="005C6913">
        <w:rPr>
          <w:lang w:val="de-DE"/>
        </w:rPr>
        <w:t xml:space="preserve">, A., Zwickel, J., &amp; Müller, H. J. (2012). </w:t>
      </w:r>
      <w:r w:rsidRPr="005C6913">
        <w:t xml:space="preserve">I See What You Mean: How Attentional Selection Is Shaped by Ascribing Intentions to Others. </w:t>
      </w:r>
      <w:proofErr w:type="spellStart"/>
      <w:r w:rsidRPr="005C6913">
        <w:rPr>
          <w:i/>
          <w:iCs/>
        </w:rPr>
        <w:t>PLoS</w:t>
      </w:r>
      <w:proofErr w:type="spellEnd"/>
      <w:r w:rsidRPr="005C6913">
        <w:rPr>
          <w:i/>
          <w:iCs/>
        </w:rPr>
        <w:t xml:space="preserve"> ONE</w:t>
      </w:r>
      <w:r w:rsidRPr="005C6913">
        <w:t xml:space="preserve">, </w:t>
      </w:r>
      <w:r w:rsidRPr="005C6913">
        <w:rPr>
          <w:i/>
          <w:iCs/>
        </w:rPr>
        <w:t>7</w:t>
      </w:r>
      <w:r w:rsidRPr="005C6913">
        <w:t xml:space="preserve">(9), e45391. </w:t>
      </w:r>
      <w:hyperlink r:id="rId108" w:history="1">
        <w:r w:rsidRPr="005C6913">
          <w:rPr>
            <w:rStyle w:val="Hyperlink"/>
          </w:rPr>
          <w:t>https://doi.org/10.1371/journal.pone.0045391</w:t>
        </w:r>
      </w:hyperlink>
    </w:p>
    <w:p w14:paraId="64652BED" w14:textId="77777777" w:rsidR="005C6913" w:rsidRPr="005C6913" w:rsidRDefault="005C6913" w:rsidP="006C48FC">
      <w:pPr>
        <w:pStyle w:val="Bibentry"/>
        <w:numPr>
          <w:ilvl w:val="0"/>
          <w:numId w:val="32"/>
        </w:numPr>
      </w:pPr>
      <w:r w:rsidRPr="005C6913">
        <w:t xml:space="preserve">Wilkowski, B. M., Robinson, M. D., &amp; Friesen, C. K. (2009). Gaze-Triggered Orienting as a Tool of the Belongingness Self-Regulation System. </w:t>
      </w:r>
      <w:r w:rsidRPr="005C6913">
        <w:rPr>
          <w:i/>
          <w:iCs/>
        </w:rPr>
        <w:t>Psychological Science</w:t>
      </w:r>
      <w:r w:rsidRPr="005C6913">
        <w:t xml:space="preserve">, </w:t>
      </w:r>
      <w:r w:rsidRPr="005C6913">
        <w:rPr>
          <w:i/>
          <w:iCs/>
        </w:rPr>
        <w:t>20</w:t>
      </w:r>
      <w:r w:rsidRPr="005C6913">
        <w:t xml:space="preserve">(4), 495–501. </w:t>
      </w:r>
      <w:hyperlink r:id="rId109" w:history="1">
        <w:r w:rsidRPr="005C6913">
          <w:rPr>
            <w:rStyle w:val="Hyperlink"/>
          </w:rPr>
          <w:t>https://doi.org/10.1111/j.1467-9280.2009.02321.x</w:t>
        </w:r>
      </w:hyperlink>
    </w:p>
    <w:p w14:paraId="18531584" w14:textId="77777777" w:rsidR="005C6913" w:rsidRPr="005C6913" w:rsidRDefault="005C6913" w:rsidP="006C48FC">
      <w:pPr>
        <w:pStyle w:val="Bibentry"/>
        <w:numPr>
          <w:ilvl w:val="0"/>
          <w:numId w:val="32"/>
        </w:numPr>
      </w:pPr>
      <w:r w:rsidRPr="005C6913">
        <w:t xml:space="preserve">Wolpert, D. M., &amp; </w:t>
      </w:r>
      <w:proofErr w:type="spellStart"/>
      <w:r w:rsidRPr="005C6913">
        <w:t>Kawato</w:t>
      </w:r>
      <w:proofErr w:type="spellEnd"/>
      <w:r w:rsidRPr="005C6913">
        <w:t xml:space="preserve">, M. (1998). Multiple paired forward and inverse models for motor control. </w:t>
      </w:r>
      <w:r w:rsidRPr="005C6913">
        <w:rPr>
          <w:i/>
          <w:iCs/>
        </w:rPr>
        <w:t>Neural Networks</w:t>
      </w:r>
      <w:r w:rsidRPr="005C6913">
        <w:t xml:space="preserve">, </w:t>
      </w:r>
      <w:r w:rsidRPr="005C6913">
        <w:rPr>
          <w:i/>
          <w:iCs/>
        </w:rPr>
        <w:t>11</w:t>
      </w:r>
      <w:r w:rsidRPr="005C6913">
        <w:t xml:space="preserve">(7–8), 1317–1329. </w:t>
      </w:r>
      <w:hyperlink r:id="rId110" w:history="1">
        <w:r w:rsidRPr="005C6913">
          <w:rPr>
            <w:rStyle w:val="Hyperlink"/>
          </w:rPr>
          <w:t>https://doi.org/10.1016/S0893-6080(98)00066-5</w:t>
        </w:r>
      </w:hyperlink>
    </w:p>
    <w:p w14:paraId="466D2A71" w14:textId="77777777" w:rsidR="005C6913" w:rsidRPr="005C6913" w:rsidRDefault="005C6913" w:rsidP="006C48FC">
      <w:pPr>
        <w:pStyle w:val="Bibentry"/>
        <w:numPr>
          <w:ilvl w:val="0"/>
          <w:numId w:val="32"/>
        </w:numPr>
      </w:pPr>
      <w:r w:rsidRPr="005C6913">
        <w:t xml:space="preserve">Wu, D. W.-L., Bischof, W. F., Anderson, N. C., Jakobsen, T., &amp; Kingstone, A. (2014). The influence of personality on social attention. </w:t>
      </w:r>
      <w:r w:rsidRPr="005C6913">
        <w:rPr>
          <w:i/>
          <w:iCs/>
        </w:rPr>
        <w:t>Personality and Individual Differences</w:t>
      </w:r>
      <w:r w:rsidRPr="005C6913">
        <w:t xml:space="preserve">, </w:t>
      </w:r>
      <w:r w:rsidRPr="005C6913">
        <w:rPr>
          <w:i/>
          <w:iCs/>
        </w:rPr>
        <w:t>60</w:t>
      </w:r>
      <w:r w:rsidRPr="005C6913">
        <w:t xml:space="preserve">, 25–29. </w:t>
      </w:r>
      <w:hyperlink r:id="rId111" w:history="1">
        <w:r w:rsidRPr="005C6913">
          <w:rPr>
            <w:rStyle w:val="Hyperlink"/>
          </w:rPr>
          <w:t>https://doi.org/10.1016/j.paid.2013.11.017</w:t>
        </w:r>
      </w:hyperlink>
    </w:p>
    <w:p w14:paraId="345E329B" w14:textId="3C632C67" w:rsidR="00586A35" w:rsidRPr="00586A35" w:rsidRDefault="00586A35" w:rsidP="005C6913">
      <w:pPr>
        <w:pStyle w:val="Bibentry"/>
        <w:rPr>
          <w:szCs w:val="14"/>
          <w14:ligatures w14:val="standard"/>
        </w:rPr>
      </w:pPr>
    </w:p>
    <w:sectPr w:rsidR="00586A35" w:rsidRPr="00586A35" w:rsidSect="0041261D">
      <w:endnotePr>
        <w:numFmt w:val="decimal"/>
      </w:endnotePr>
      <w:type w:val="continuous"/>
      <w:pgSz w:w="12240" w:h="15840" w:code="9"/>
      <w:pgMar w:top="1500" w:right="1080" w:bottom="1600" w:left="1080" w:header="1080" w:footer="1080" w:gutter="0"/>
      <w:pgNumType w:start="1"/>
      <w:cols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9C4E6" w14:textId="77777777" w:rsidR="00BA2A06" w:rsidRDefault="00BA2A06">
      <w:r>
        <w:separator/>
      </w:r>
    </w:p>
  </w:endnote>
  <w:endnote w:type="continuationSeparator" w:id="0">
    <w:p w14:paraId="1C8CBEB3" w14:textId="77777777" w:rsidR="00BA2A06" w:rsidRDefault="00BA2A06">
      <w:r>
        <w:continuationSeparator/>
      </w:r>
    </w:p>
  </w:endnote>
  <w:endnote w:type="continuationNotice" w:id="1">
    <w:p w14:paraId="6A666B33" w14:textId="77777777" w:rsidR="00BA2A06" w:rsidRDefault="00BA2A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Linux Libertine">
    <w:altName w:val="Times New Roman"/>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CC"/>
    <w:family w:val="swiss"/>
    <w:pitch w:val="variable"/>
    <w:sig w:usb0="00000687" w:usb1="00000000" w:usb2="00000000" w:usb3="00000000" w:csb0="0000009F" w:csb1="00000000"/>
  </w:font>
  <w:font w:name="Lucida Console">
    <w:panose1 w:val="020B0609040504020204"/>
    <w:charset w:val="CC"/>
    <w:family w:val="modern"/>
    <w:pitch w:val="fixed"/>
    <w:sig w:usb0="8000028F" w:usb1="00001800" w:usb2="00000000" w:usb3="00000000" w:csb0="0000001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20300" w14:textId="77777777" w:rsidR="00080FCF" w:rsidRPr="00586A35" w:rsidRDefault="00080FCF" w:rsidP="00586A35">
    <w:pPr>
      <w:pStyle w:val="Footer"/>
      <w:rPr>
        <w:rStyle w:val="PageNumber"/>
        <w:rFonts w:ascii="Linux Biolinum" w:hAnsi="Linux Biolinum" w:cs="Linux Biolinum"/>
      </w:rPr>
    </w:pPr>
  </w:p>
  <w:p w14:paraId="3B69D9FD" w14:textId="77777777" w:rsidR="00080FCF" w:rsidRPr="00586A35" w:rsidRDefault="00080FCF"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3808" w14:textId="77777777" w:rsidR="00080FCF" w:rsidRPr="00586A35" w:rsidRDefault="00080FCF">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14319" w14:textId="77777777" w:rsidR="00BA2A06" w:rsidRDefault="00BA2A06">
      <w:r>
        <w:separator/>
      </w:r>
    </w:p>
  </w:footnote>
  <w:footnote w:type="continuationSeparator" w:id="0">
    <w:p w14:paraId="572FE583" w14:textId="77777777" w:rsidR="00BA2A06" w:rsidRDefault="00BA2A06">
      <w:r>
        <w:continuationSeparator/>
      </w:r>
    </w:p>
  </w:footnote>
  <w:footnote w:type="continuationNotice" w:id="1">
    <w:p w14:paraId="7475E284" w14:textId="77777777" w:rsidR="00BA2A06" w:rsidRDefault="00BA2A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080FCF" w:rsidRPr="00586A35" w14:paraId="3F4EBD35" w14:textId="77777777" w:rsidTr="00586A35">
      <w:tc>
        <w:tcPr>
          <w:tcW w:w="2500" w:type="pct"/>
          <w:vAlign w:val="center"/>
        </w:tcPr>
        <w:p w14:paraId="638D46E8" w14:textId="7F0698A0" w:rsidR="00080FCF" w:rsidRPr="00586A35" w:rsidRDefault="009F4441" w:rsidP="00586A35">
          <w:pPr>
            <w:pStyle w:val="Header"/>
            <w:tabs>
              <w:tab w:val="clear" w:pos="4320"/>
              <w:tab w:val="clear" w:pos="8640"/>
            </w:tabs>
            <w:rPr>
              <w:rFonts w:ascii="Linux Biolinum" w:hAnsi="Linux Biolinum" w:cs="Linux Biolinum"/>
            </w:rPr>
          </w:pPr>
          <w:r>
            <w:rPr>
              <w:rFonts w:ascii="Linux Biolinum" w:hAnsi="Linux Biolinum" w:cs="Linux Biolinum"/>
            </w:rPr>
            <w:t>Gaze cuing effect in action control: Yes, action matters!</w:t>
          </w:r>
        </w:p>
      </w:tc>
      <w:tc>
        <w:tcPr>
          <w:tcW w:w="2500" w:type="pct"/>
          <w:vAlign w:val="center"/>
        </w:tcPr>
        <w:p w14:paraId="3DE618B5" w14:textId="4B37420E" w:rsidR="00080FCF" w:rsidRPr="006C48FC" w:rsidRDefault="00080FCF" w:rsidP="006C48FC">
          <w:pPr>
            <w:pStyle w:val="Header"/>
            <w:tabs>
              <w:tab w:val="clear" w:pos="4320"/>
              <w:tab w:val="clear" w:pos="8640"/>
            </w:tabs>
            <w:jc w:val="center"/>
            <w:rPr>
              <w:rFonts w:ascii="Linux Biolinum" w:hAnsi="Linux Biolinum" w:cs="Linux Biolinum"/>
              <w:lang w:val="en-US"/>
            </w:rPr>
          </w:pPr>
        </w:p>
      </w:tc>
    </w:tr>
  </w:tbl>
  <w:p w14:paraId="4ABD71D8" w14:textId="77777777" w:rsidR="00080FCF" w:rsidRPr="00586A35" w:rsidRDefault="00080FCF"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AD85A81"/>
    <w:multiLevelType w:val="hybridMultilevel"/>
    <w:tmpl w:val="C6506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7"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8"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0"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7"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756490">
    <w:abstractNumId w:val="29"/>
  </w:num>
  <w:num w:numId="2" w16cid:durableId="1347366518">
    <w:abstractNumId w:val="15"/>
  </w:num>
  <w:num w:numId="3" w16cid:durableId="1929147751">
    <w:abstractNumId w:val="10"/>
  </w:num>
  <w:num w:numId="4" w16cid:durableId="1410885640">
    <w:abstractNumId w:val="28"/>
  </w:num>
  <w:num w:numId="5" w16cid:durableId="1794443656">
    <w:abstractNumId w:val="20"/>
  </w:num>
  <w:num w:numId="6" w16cid:durableId="1061057608">
    <w:abstractNumId w:val="16"/>
  </w:num>
  <w:num w:numId="7" w16cid:durableId="1635989252">
    <w:abstractNumId w:val="26"/>
  </w:num>
  <w:num w:numId="8" w16cid:durableId="756557385">
    <w:abstractNumId w:val="22"/>
  </w:num>
  <w:num w:numId="9" w16cid:durableId="1024945504">
    <w:abstractNumId w:val="25"/>
  </w:num>
  <w:num w:numId="10" w16cid:durableId="1322343280">
    <w:abstractNumId w:val="9"/>
  </w:num>
  <w:num w:numId="11" w16cid:durableId="376852271">
    <w:abstractNumId w:val="7"/>
  </w:num>
  <w:num w:numId="12" w16cid:durableId="1331175334">
    <w:abstractNumId w:val="6"/>
  </w:num>
  <w:num w:numId="13" w16cid:durableId="841357350">
    <w:abstractNumId w:val="5"/>
  </w:num>
  <w:num w:numId="14" w16cid:durableId="1182204376">
    <w:abstractNumId w:val="4"/>
  </w:num>
  <w:num w:numId="15" w16cid:durableId="1249582906">
    <w:abstractNumId w:val="8"/>
  </w:num>
  <w:num w:numId="16" w16cid:durableId="152993742">
    <w:abstractNumId w:val="3"/>
  </w:num>
  <w:num w:numId="17" w16cid:durableId="1183085180">
    <w:abstractNumId w:val="2"/>
  </w:num>
  <w:num w:numId="18" w16cid:durableId="1750888245">
    <w:abstractNumId w:val="1"/>
  </w:num>
  <w:num w:numId="19" w16cid:durableId="2029603768">
    <w:abstractNumId w:val="0"/>
  </w:num>
  <w:num w:numId="20" w16cid:durableId="1395279941">
    <w:abstractNumId w:val="21"/>
  </w:num>
  <w:num w:numId="21" w16cid:durableId="282538405">
    <w:abstractNumId w:val="24"/>
  </w:num>
  <w:num w:numId="22" w16cid:durableId="1403136077">
    <w:abstractNumId w:val="30"/>
  </w:num>
  <w:num w:numId="23" w16cid:durableId="981271376">
    <w:abstractNumId w:val="13"/>
  </w:num>
  <w:num w:numId="24" w16cid:durableId="1896314038">
    <w:abstractNumId w:val="27"/>
  </w:num>
  <w:num w:numId="25" w16cid:durableId="241840524">
    <w:abstractNumId w:val="23"/>
  </w:num>
  <w:num w:numId="26" w16cid:durableId="429816426">
    <w:abstractNumId w:val="17"/>
  </w:num>
  <w:num w:numId="27" w16cid:durableId="19789511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7970304">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5666818">
    <w:abstractNumId w:val="18"/>
  </w:num>
  <w:num w:numId="30" w16cid:durableId="1434663721">
    <w:abstractNumId w:val="12"/>
  </w:num>
  <w:num w:numId="31" w16cid:durableId="994796995">
    <w:abstractNumId w:val="11"/>
  </w:num>
  <w:num w:numId="32" w16cid:durableId="112049200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de-DE" w:vendorID="64" w:dllVersion="4096" w:nlCheck="1" w:checkStyle="0"/>
  <w:activeWritingStyle w:appName="MSWord" w:lang="fr-FR" w:vendorID="64" w:dllVersion="0" w:nlCheck="1" w:checkStyle="0"/>
  <w:activeWritingStyle w:appName="MSWord" w:lang="de-DE"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3D02"/>
    <w:rsid w:val="0000598B"/>
    <w:rsid w:val="00021239"/>
    <w:rsid w:val="000332B5"/>
    <w:rsid w:val="00035FAD"/>
    <w:rsid w:val="00041330"/>
    <w:rsid w:val="00043BE0"/>
    <w:rsid w:val="00045252"/>
    <w:rsid w:val="00047398"/>
    <w:rsid w:val="00050EEF"/>
    <w:rsid w:val="00052A1A"/>
    <w:rsid w:val="00052C34"/>
    <w:rsid w:val="00056777"/>
    <w:rsid w:val="0006112F"/>
    <w:rsid w:val="00062D29"/>
    <w:rsid w:val="000713CD"/>
    <w:rsid w:val="000717FA"/>
    <w:rsid w:val="00072E69"/>
    <w:rsid w:val="0007392C"/>
    <w:rsid w:val="000739F9"/>
    <w:rsid w:val="00077680"/>
    <w:rsid w:val="00080E27"/>
    <w:rsid w:val="00080FCF"/>
    <w:rsid w:val="000819C0"/>
    <w:rsid w:val="0008431E"/>
    <w:rsid w:val="00087842"/>
    <w:rsid w:val="00090531"/>
    <w:rsid w:val="000A38CE"/>
    <w:rsid w:val="000C050B"/>
    <w:rsid w:val="000D576D"/>
    <w:rsid w:val="000E118B"/>
    <w:rsid w:val="000E278E"/>
    <w:rsid w:val="000E64FC"/>
    <w:rsid w:val="000E7A87"/>
    <w:rsid w:val="000F49F5"/>
    <w:rsid w:val="000F4F92"/>
    <w:rsid w:val="000F6090"/>
    <w:rsid w:val="001041A3"/>
    <w:rsid w:val="0010534D"/>
    <w:rsid w:val="00105E73"/>
    <w:rsid w:val="00115341"/>
    <w:rsid w:val="00115EF1"/>
    <w:rsid w:val="00124C07"/>
    <w:rsid w:val="00125AC6"/>
    <w:rsid w:val="00125C53"/>
    <w:rsid w:val="00127056"/>
    <w:rsid w:val="00127D30"/>
    <w:rsid w:val="0013007D"/>
    <w:rsid w:val="0013113A"/>
    <w:rsid w:val="001314CF"/>
    <w:rsid w:val="001363F5"/>
    <w:rsid w:val="00136EFF"/>
    <w:rsid w:val="001377F6"/>
    <w:rsid w:val="00140C02"/>
    <w:rsid w:val="00141A17"/>
    <w:rsid w:val="0014244B"/>
    <w:rsid w:val="00142FEA"/>
    <w:rsid w:val="0014316C"/>
    <w:rsid w:val="001453E7"/>
    <w:rsid w:val="00145419"/>
    <w:rsid w:val="00145486"/>
    <w:rsid w:val="00145D07"/>
    <w:rsid w:val="00152510"/>
    <w:rsid w:val="00155166"/>
    <w:rsid w:val="001566AE"/>
    <w:rsid w:val="00166856"/>
    <w:rsid w:val="001751F7"/>
    <w:rsid w:val="001821CB"/>
    <w:rsid w:val="00185BBB"/>
    <w:rsid w:val="00185CD9"/>
    <w:rsid w:val="00193445"/>
    <w:rsid w:val="001961CD"/>
    <w:rsid w:val="00196513"/>
    <w:rsid w:val="001A06AF"/>
    <w:rsid w:val="001A43B1"/>
    <w:rsid w:val="001A71BB"/>
    <w:rsid w:val="001B29D6"/>
    <w:rsid w:val="001B5057"/>
    <w:rsid w:val="001C2AAA"/>
    <w:rsid w:val="001C2EC2"/>
    <w:rsid w:val="001D25C7"/>
    <w:rsid w:val="001D5887"/>
    <w:rsid w:val="001E2720"/>
    <w:rsid w:val="001E71D7"/>
    <w:rsid w:val="0020294A"/>
    <w:rsid w:val="00203E2A"/>
    <w:rsid w:val="00217149"/>
    <w:rsid w:val="00220572"/>
    <w:rsid w:val="002212F5"/>
    <w:rsid w:val="002233F8"/>
    <w:rsid w:val="00223CBE"/>
    <w:rsid w:val="00223CC6"/>
    <w:rsid w:val="00240D20"/>
    <w:rsid w:val="00245119"/>
    <w:rsid w:val="00246515"/>
    <w:rsid w:val="00250FEF"/>
    <w:rsid w:val="00252596"/>
    <w:rsid w:val="002557EF"/>
    <w:rsid w:val="00264B6B"/>
    <w:rsid w:val="00270347"/>
    <w:rsid w:val="0027195D"/>
    <w:rsid w:val="002721FA"/>
    <w:rsid w:val="002738DA"/>
    <w:rsid w:val="00282789"/>
    <w:rsid w:val="00284EA5"/>
    <w:rsid w:val="002872B0"/>
    <w:rsid w:val="00290DF5"/>
    <w:rsid w:val="00292645"/>
    <w:rsid w:val="00294DD3"/>
    <w:rsid w:val="0029583F"/>
    <w:rsid w:val="002A4CAC"/>
    <w:rsid w:val="002A517A"/>
    <w:rsid w:val="002A765D"/>
    <w:rsid w:val="002B01E4"/>
    <w:rsid w:val="002B19AD"/>
    <w:rsid w:val="002B1F59"/>
    <w:rsid w:val="002B26CD"/>
    <w:rsid w:val="002B3976"/>
    <w:rsid w:val="002B6291"/>
    <w:rsid w:val="002B74C6"/>
    <w:rsid w:val="002C054E"/>
    <w:rsid w:val="002C06F2"/>
    <w:rsid w:val="002C4A8B"/>
    <w:rsid w:val="002D1916"/>
    <w:rsid w:val="002D26C4"/>
    <w:rsid w:val="002F069E"/>
    <w:rsid w:val="002F2289"/>
    <w:rsid w:val="002F2EB2"/>
    <w:rsid w:val="002F43F2"/>
    <w:rsid w:val="002F669E"/>
    <w:rsid w:val="00301545"/>
    <w:rsid w:val="00303FAD"/>
    <w:rsid w:val="003057B1"/>
    <w:rsid w:val="00307501"/>
    <w:rsid w:val="00311B8F"/>
    <w:rsid w:val="00317850"/>
    <w:rsid w:val="00321DDC"/>
    <w:rsid w:val="003245F6"/>
    <w:rsid w:val="0032775A"/>
    <w:rsid w:val="0033342D"/>
    <w:rsid w:val="003339F1"/>
    <w:rsid w:val="003342CD"/>
    <w:rsid w:val="00336D12"/>
    <w:rsid w:val="003422E2"/>
    <w:rsid w:val="0034235E"/>
    <w:rsid w:val="00356296"/>
    <w:rsid w:val="00357671"/>
    <w:rsid w:val="00371F10"/>
    <w:rsid w:val="00373175"/>
    <w:rsid w:val="003735D0"/>
    <w:rsid w:val="0037572A"/>
    <w:rsid w:val="00376CCC"/>
    <w:rsid w:val="0038080D"/>
    <w:rsid w:val="003861FD"/>
    <w:rsid w:val="00390853"/>
    <w:rsid w:val="00392395"/>
    <w:rsid w:val="003936B1"/>
    <w:rsid w:val="003944CF"/>
    <w:rsid w:val="00394617"/>
    <w:rsid w:val="003A1ABD"/>
    <w:rsid w:val="003A217C"/>
    <w:rsid w:val="003A57A4"/>
    <w:rsid w:val="003B0020"/>
    <w:rsid w:val="003B1CA3"/>
    <w:rsid w:val="003B44F3"/>
    <w:rsid w:val="003B73D2"/>
    <w:rsid w:val="003C1602"/>
    <w:rsid w:val="003C3338"/>
    <w:rsid w:val="003D0DD2"/>
    <w:rsid w:val="003D2E0A"/>
    <w:rsid w:val="003D446D"/>
    <w:rsid w:val="003D544B"/>
    <w:rsid w:val="003D7001"/>
    <w:rsid w:val="003E6247"/>
    <w:rsid w:val="003F1A6A"/>
    <w:rsid w:val="003F3012"/>
    <w:rsid w:val="003F31A3"/>
    <w:rsid w:val="003F4297"/>
    <w:rsid w:val="003F4607"/>
    <w:rsid w:val="003F5DAE"/>
    <w:rsid w:val="003F5F3D"/>
    <w:rsid w:val="003F7CA2"/>
    <w:rsid w:val="0040075E"/>
    <w:rsid w:val="004023EC"/>
    <w:rsid w:val="004123AD"/>
    <w:rsid w:val="0041261D"/>
    <w:rsid w:val="004128EE"/>
    <w:rsid w:val="00417933"/>
    <w:rsid w:val="00421601"/>
    <w:rsid w:val="00427C7D"/>
    <w:rsid w:val="00431CB0"/>
    <w:rsid w:val="00442D6D"/>
    <w:rsid w:val="004442BC"/>
    <w:rsid w:val="00452D6E"/>
    <w:rsid w:val="0046042C"/>
    <w:rsid w:val="0048106F"/>
    <w:rsid w:val="0048126B"/>
    <w:rsid w:val="004825CE"/>
    <w:rsid w:val="0048349E"/>
    <w:rsid w:val="004836A6"/>
    <w:rsid w:val="004857AF"/>
    <w:rsid w:val="0049162A"/>
    <w:rsid w:val="00492EF4"/>
    <w:rsid w:val="004947C9"/>
    <w:rsid w:val="00495781"/>
    <w:rsid w:val="00497365"/>
    <w:rsid w:val="004A16E1"/>
    <w:rsid w:val="004A7556"/>
    <w:rsid w:val="004B01F2"/>
    <w:rsid w:val="004B0BF6"/>
    <w:rsid w:val="004C1B6B"/>
    <w:rsid w:val="004C1EDF"/>
    <w:rsid w:val="004C49F3"/>
    <w:rsid w:val="004C6625"/>
    <w:rsid w:val="004C664B"/>
    <w:rsid w:val="004C6B2D"/>
    <w:rsid w:val="004D4DA4"/>
    <w:rsid w:val="004D6F20"/>
    <w:rsid w:val="004E1790"/>
    <w:rsid w:val="004F0DD6"/>
    <w:rsid w:val="004F1673"/>
    <w:rsid w:val="004F4CFB"/>
    <w:rsid w:val="005001CE"/>
    <w:rsid w:val="0050103C"/>
    <w:rsid w:val="005041C6"/>
    <w:rsid w:val="00504C8B"/>
    <w:rsid w:val="00506EF6"/>
    <w:rsid w:val="005153AC"/>
    <w:rsid w:val="005160AB"/>
    <w:rsid w:val="00522F14"/>
    <w:rsid w:val="00523CD9"/>
    <w:rsid w:val="00524B92"/>
    <w:rsid w:val="00533557"/>
    <w:rsid w:val="005351A0"/>
    <w:rsid w:val="00537A2F"/>
    <w:rsid w:val="00540093"/>
    <w:rsid w:val="00540C55"/>
    <w:rsid w:val="00551881"/>
    <w:rsid w:val="005528F6"/>
    <w:rsid w:val="0055353B"/>
    <w:rsid w:val="00561FDD"/>
    <w:rsid w:val="005779EB"/>
    <w:rsid w:val="005847EF"/>
    <w:rsid w:val="00584C2F"/>
    <w:rsid w:val="0058578F"/>
    <w:rsid w:val="00586A35"/>
    <w:rsid w:val="005924BE"/>
    <w:rsid w:val="005927BE"/>
    <w:rsid w:val="00592F80"/>
    <w:rsid w:val="00596082"/>
    <w:rsid w:val="00596F2A"/>
    <w:rsid w:val="005B2ED3"/>
    <w:rsid w:val="005B493F"/>
    <w:rsid w:val="005B70E5"/>
    <w:rsid w:val="005C0062"/>
    <w:rsid w:val="005C3D72"/>
    <w:rsid w:val="005C5E36"/>
    <w:rsid w:val="005C6913"/>
    <w:rsid w:val="005D0695"/>
    <w:rsid w:val="005D0CCE"/>
    <w:rsid w:val="005D3199"/>
    <w:rsid w:val="005D7E6E"/>
    <w:rsid w:val="005E22A3"/>
    <w:rsid w:val="005E7BE2"/>
    <w:rsid w:val="005F155F"/>
    <w:rsid w:val="005F30FF"/>
    <w:rsid w:val="005F564B"/>
    <w:rsid w:val="006043B9"/>
    <w:rsid w:val="006078F7"/>
    <w:rsid w:val="00607A60"/>
    <w:rsid w:val="006112E1"/>
    <w:rsid w:val="0061273A"/>
    <w:rsid w:val="00612C56"/>
    <w:rsid w:val="00612E4E"/>
    <w:rsid w:val="00623DA1"/>
    <w:rsid w:val="006317A6"/>
    <w:rsid w:val="0063310F"/>
    <w:rsid w:val="0063608B"/>
    <w:rsid w:val="006374F1"/>
    <w:rsid w:val="00644AC8"/>
    <w:rsid w:val="00650463"/>
    <w:rsid w:val="006514CD"/>
    <w:rsid w:val="0065275A"/>
    <w:rsid w:val="00654D92"/>
    <w:rsid w:val="00660A05"/>
    <w:rsid w:val="00665A9D"/>
    <w:rsid w:val="00670649"/>
    <w:rsid w:val="00672ABE"/>
    <w:rsid w:val="00675128"/>
    <w:rsid w:val="006758E7"/>
    <w:rsid w:val="00677580"/>
    <w:rsid w:val="0068521B"/>
    <w:rsid w:val="00690C4D"/>
    <w:rsid w:val="0069472B"/>
    <w:rsid w:val="00694749"/>
    <w:rsid w:val="006978B2"/>
    <w:rsid w:val="006A22F6"/>
    <w:rsid w:val="006A29E8"/>
    <w:rsid w:val="006A7F48"/>
    <w:rsid w:val="006B4623"/>
    <w:rsid w:val="006B5126"/>
    <w:rsid w:val="006B6CF6"/>
    <w:rsid w:val="006C48FC"/>
    <w:rsid w:val="006C4BE3"/>
    <w:rsid w:val="006D0E9B"/>
    <w:rsid w:val="006D2239"/>
    <w:rsid w:val="006D72CB"/>
    <w:rsid w:val="006E0D12"/>
    <w:rsid w:val="006E4407"/>
    <w:rsid w:val="006E6A33"/>
    <w:rsid w:val="006E7653"/>
    <w:rsid w:val="006F050A"/>
    <w:rsid w:val="006F1681"/>
    <w:rsid w:val="006F66CB"/>
    <w:rsid w:val="006F769F"/>
    <w:rsid w:val="00701FA6"/>
    <w:rsid w:val="0070306F"/>
    <w:rsid w:val="007030C1"/>
    <w:rsid w:val="0070473B"/>
    <w:rsid w:val="0070531E"/>
    <w:rsid w:val="00713C49"/>
    <w:rsid w:val="00716FD4"/>
    <w:rsid w:val="0071778C"/>
    <w:rsid w:val="00717FB2"/>
    <w:rsid w:val="007249CB"/>
    <w:rsid w:val="00724D41"/>
    <w:rsid w:val="00727503"/>
    <w:rsid w:val="00727914"/>
    <w:rsid w:val="00727EBD"/>
    <w:rsid w:val="00732243"/>
    <w:rsid w:val="00732D22"/>
    <w:rsid w:val="00743328"/>
    <w:rsid w:val="007451FF"/>
    <w:rsid w:val="00745373"/>
    <w:rsid w:val="00747E69"/>
    <w:rsid w:val="00751EC1"/>
    <w:rsid w:val="00752225"/>
    <w:rsid w:val="007525C2"/>
    <w:rsid w:val="00753548"/>
    <w:rsid w:val="00763D9D"/>
    <w:rsid w:val="00764059"/>
    <w:rsid w:val="007647B0"/>
    <w:rsid w:val="00765265"/>
    <w:rsid w:val="00776F92"/>
    <w:rsid w:val="007800CE"/>
    <w:rsid w:val="00780227"/>
    <w:rsid w:val="00785B9B"/>
    <w:rsid w:val="007921C4"/>
    <w:rsid w:val="00793451"/>
    <w:rsid w:val="00793808"/>
    <w:rsid w:val="0079682F"/>
    <w:rsid w:val="00797D60"/>
    <w:rsid w:val="007A2C1A"/>
    <w:rsid w:val="007A3F4E"/>
    <w:rsid w:val="007A481F"/>
    <w:rsid w:val="007A5002"/>
    <w:rsid w:val="007A502C"/>
    <w:rsid w:val="007A579F"/>
    <w:rsid w:val="007C1697"/>
    <w:rsid w:val="007C4F8B"/>
    <w:rsid w:val="007C57E7"/>
    <w:rsid w:val="007D3C28"/>
    <w:rsid w:val="007E0B4F"/>
    <w:rsid w:val="007E7648"/>
    <w:rsid w:val="007F2D1D"/>
    <w:rsid w:val="00802E06"/>
    <w:rsid w:val="00804E43"/>
    <w:rsid w:val="008051C3"/>
    <w:rsid w:val="00810CE2"/>
    <w:rsid w:val="008150D4"/>
    <w:rsid w:val="008216D3"/>
    <w:rsid w:val="00823279"/>
    <w:rsid w:val="00824131"/>
    <w:rsid w:val="00824584"/>
    <w:rsid w:val="008313F7"/>
    <w:rsid w:val="0083735E"/>
    <w:rsid w:val="00837CBF"/>
    <w:rsid w:val="00843705"/>
    <w:rsid w:val="00847A31"/>
    <w:rsid w:val="00850D0C"/>
    <w:rsid w:val="0085553A"/>
    <w:rsid w:val="00861985"/>
    <w:rsid w:val="00871E83"/>
    <w:rsid w:val="008770EA"/>
    <w:rsid w:val="008816BD"/>
    <w:rsid w:val="0088663A"/>
    <w:rsid w:val="0089066F"/>
    <w:rsid w:val="00891A1D"/>
    <w:rsid w:val="008920F8"/>
    <w:rsid w:val="008949E1"/>
    <w:rsid w:val="008A14CF"/>
    <w:rsid w:val="008A665A"/>
    <w:rsid w:val="008B08B5"/>
    <w:rsid w:val="008B1EFD"/>
    <w:rsid w:val="008B710D"/>
    <w:rsid w:val="008C1AA1"/>
    <w:rsid w:val="008C6E83"/>
    <w:rsid w:val="008C72C9"/>
    <w:rsid w:val="008D4A83"/>
    <w:rsid w:val="008D75D7"/>
    <w:rsid w:val="008D7E47"/>
    <w:rsid w:val="008E0DF9"/>
    <w:rsid w:val="008F2E75"/>
    <w:rsid w:val="008F6FB8"/>
    <w:rsid w:val="008F7FBB"/>
    <w:rsid w:val="009010B7"/>
    <w:rsid w:val="009073E1"/>
    <w:rsid w:val="00912135"/>
    <w:rsid w:val="0092209C"/>
    <w:rsid w:val="00922D48"/>
    <w:rsid w:val="009268B7"/>
    <w:rsid w:val="00926E45"/>
    <w:rsid w:val="00927A6D"/>
    <w:rsid w:val="00931F2B"/>
    <w:rsid w:val="00932662"/>
    <w:rsid w:val="00934FE1"/>
    <w:rsid w:val="00936367"/>
    <w:rsid w:val="00936F8D"/>
    <w:rsid w:val="00941586"/>
    <w:rsid w:val="00942742"/>
    <w:rsid w:val="00944AEF"/>
    <w:rsid w:val="009453E2"/>
    <w:rsid w:val="0095071A"/>
    <w:rsid w:val="00953173"/>
    <w:rsid w:val="00955704"/>
    <w:rsid w:val="00957FF7"/>
    <w:rsid w:val="00962503"/>
    <w:rsid w:val="00966299"/>
    <w:rsid w:val="009668DE"/>
    <w:rsid w:val="00975AE7"/>
    <w:rsid w:val="00976413"/>
    <w:rsid w:val="00982C4C"/>
    <w:rsid w:val="00986039"/>
    <w:rsid w:val="009923C7"/>
    <w:rsid w:val="00992773"/>
    <w:rsid w:val="009963F9"/>
    <w:rsid w:val="00997043"/>
    <w:rsid w:val="009978A7"/>
    <w:rsid w:val="009A431D"/>
    <w:rsid w:val="009B00DC"/>
    <w:rsid w:val="009B7559"/>
    <w:rsid w:val="009C1532"/>
    <w:rsid w:val="009C2FCA"/>
    <w:rsid w:val="009D2C42"/>
    <w:rsid w:val="009D3C3B"/>
    <w:rsid w:val="009D46EA"/>
    <w:rsid w:val="009D74E6"/>
    <w:rsid w:val="009D7D6A"/>
    <w:rsid w:val="009E56C5"/>
    <w:rsid w:val="009E5800"/>
    <w:rsid w:val="009E7485"/>
    <w:rsid w:val="009F2833"/>
    <w:rsid w:val="009F42D0"/>
    <w:rsid w:val="009F4441"/>
    <w:rsid w:val="00A012F5"/>
    <w:rsid w:val="00A12291"/>
    <w:rsid w:val="00A1434F"/>
    <w:rsid w:val="00A15152"/>
    <w:rsid w:val="00A155F9"/>
    <w:rsid w:val="00A164B7"/>
    <w:rsid w:val="00A21DEF"/>
    <w:rsid w:val="00A27742"/>
    <w:rsid w:val="00A313DD"/>
    <w:rsid w:val="00A319FD"/>
    <w:rsid w:val="00A32C7D"/>
    <w:rsid w:val="00A34626"/>
    <w:rsid w:val="00A462C6"/>
    <w:rsid w:val="00A50462"/>
    <w:rsid w:val="00A55023"/>
    <w:rsid w:val="00A55382"/>
    <w:rsid w:val="00A57D46"/>
    <w:rsid w:val="00A61A87"/>
    <w:rsid w:val="00A739CB"/>
    <w:rsid w:val="00A75047"/>
    <w:rsid w:val="00A84996"/>
    <w:rsid w:val="00A8507F"/>
    <w:rsid w:val="00A91E16"/>
    <w:rsid w:val="00A93162"/>
    <w:rsid w:val="00A95518"/>
    <w:rsid w:val="00A95EE5"/>
    <w:rsid w:val="00AA10C4"/>
    <w:rsid w:val="00AA24AF"/>
    <w:rsid w:val="00AA57D8"/>
    <w:rsid w:val="00AA5BF1"/>
    <w:rsid w:val="00AA6E2B"/>
    <w:rsid w:val="00AA7765"/>
    <w:rsid w:val="00AB0733"/>
    <w:rsid w:val="00AB21AA"/>
    <w:rsid w:val="00AB2327"/>
    <w:rsid w:val="00AB5FC3"/>
    <w:rsid w:val="00AB7BF2"/>
    <w:rsid w:val="00AC4630"/>
    <w:rsid w:val="00AD0294"/>
    <w:rsid w:val="00AD7E4D"/>
    <w:rsid w:val="00AE1E64"/>
    <w:rsid w:val="00AE30C6"/>
    <w:rsid w:val="00AE3156"/>
    <w:rsid w:val="00AE5FA1"/>
    <w:rsid w:val="00B02181"/>
    <w:rsid w:val="00B11468"/>
    <w:rsid w:val="00B117D9"/>
    <w:rsid w:val="00B129A2"/>
    <w:rsid w:val="00B13E4F"/>
    <w:rsid w:val="00B14E51"/>
    <w:rsid w:val="00B15A21"/>
    <w:rsid w:val="00B16272"/>
    <w:rsid w:val="00B1638F"/>
    <w:rsid w:val="00B20E68"/>
    <w:rsid w:val="00B25737"/>
    <w:rsid w:val="00B25EDC"/>
    <w:rsid w:val="00B272FE"/>
    <w:rsid w:val="00B33269"/>
    <w:rsid w:val="00B350C9"/>
    <w:rsid w:val="00B3715C"/>
    <w:rsid w:val="00B4052C"/>
    <w:rsid w:val="00B41CB4"/>
    <w:rsid w:val="00B43D73"/>
    <w:rsid w:val="00B44D9E"/>
    <w:rsid w:val="00B46551"/>
    <w:rsid w:val="00B51DB5"/>
    <w:rsid w:val="00B54AA8"/>
    <w:rsid w:val="00B54F7E"/>
    <w:rsid w:val="00B61445"/>
    <w:rsid w:val="00B61DDD"/>
    <w:rsid w:val="00B64DD4"/>
    <w:rsid w:val="00B64F13"/>
    <w:rsid w:val="00B73DEA"/>
    <w:rsid w:val="00B77D3C"/>
    <w:rsid w:val="00BA00DF"/>
    <w:rsid w:val="00BA2A06"/>
    <w:rsid w:val="00BA5432"/>
    <w:rsid w:val="00BA7DD8"/>
    <w:rsid w:val="00BB333E"/>
    <w:rsid w:val="00BC4090"/>
    <w:rsid w:val="00BC5BDA"/>
    <w:rsid w:val="00BD2BA6"/>
    <w:rsid w:val="00BD304D"/>
    <w:rsid w:val="00BD4F6C"/>
    <w:rsid w:val="00BD61E5"/>
    <w:rsid w:val="00BD793B"/>
    <w:rsid w:val="00BE2538"/>
    <w:rsid w:val="00BE7F58"/>
    <w:rsid w:val="00BF3D6B"/>
    <w:rsid w:val="00BF6456"/>
    <w:rsid w:val="00BF7B4F"/>
    <w:rsid w:val="00C03DCA"/>
    <w:rsid w:val="00C05D6D"/>
    <w:rsid w:val="00C06212"/>
    <w:rsid w:val="00C1142C"/>
    <w:rsid w:val="00C14A4F"/>
    <w:rsid w:val="00C20FCB"/>
    <w:rsid w:val="00C227E9"/>
    <w:rsid w:val="00C23DC9"/>
    <w:rsid w:val="00C32613"/>
    <w:rsid w:val="00C343E4"/>
    <w:rsid w:val="00C40703"/>
    <w:rsid w:val="00C41AE1"/>
    <w:rsid w:val="00C44832"/>
    <w:rsid w:val="00C4538D"/>
    <w:rsid w:val="00C461FF"/>
    <w:rsid w:val="00C50274"/>
    <w:rsid w:val="00C52939"/>
    <w:rsid w:val="00C5423E"/>
    <w:rsid w:val="00C569E6"/>
    <w:rsid w:val="00C57E12"/>
    <w:rsid w:val="00C57EFC"/>
    <w:rsid w:val="00C72B1C"/>
    <w:rsid w:val="00C72FAB"/>
    <w:rsid w:val="00C822AF"/>
    <w:rsid w:val="00C83766"/>
    <w:rsid w:val="00C876F6"/>
    <w:rsid w:val="00C90428"/>
    <w:rsid w:val="00C9472A"/>
    <w:rsid w:val="00C95C6E"/>
    <w:rsid w:val="00C96C07"/>
    <w:rsid w:val="00CA17C5"/>
    <w:rsid w:val="00CA3EEC"/>
    <w:rsid w:val="00CA45BC"/>
    <w:rsid w:val="00CA7D2F"/>
    <w:rsid w:val="00CB6709"/>
    <w:rsid w:val="00CC2FE0"/>
    <w:rsid w:val="00CC6DF8"/>
    <w:rsid w:val="00CD4663"/>
    <w:rsid w:val="00CD4858"/>
    <w:rsid w:val="00CE0E4F"/>
    <w:rsid w:val="00CE2482"/>
    <w:rsid w:val="00CE752A"/>
    <w:rsid w:val="00CF2B1E"/>
    <w:rsid w:val="00CF39D4"/>
    <w:rsid w:val="00D02896"/>
    <w:rsid w:val="00D032C7"/>
    <w:rsid w:val="00D04103"/>
    <w:rsid w:val="00D24AA4"/>
    <w:rsid w:val="00D306E5"/>
    <w:rsid w:val="00D31EBA"/>
    <w:rsid w:val="00D32CC8"/>
    <w:rsid w:val="00D341FA"/>
    <w:rsid w:val="00D34435"/>
    <w:rsid w:val="00D47BCC"/>
    <w:rsid w:val="00D658B3"/>
    <w:rsid w:val="00D70EDE"/>
    <w:rsid w:val="00D7279E"/>
    <w:rsid w:val="00D733EA"/>
    <w:rsid w:val="00D8110B"/>
    <w:rsid w:val="00D9084F"/>
    <w:rsid w:val="00D92194"/>
    <w:rsid w:val="00D9290D"/>
    <w:rsid w:val="00D956C3"/>
    <w:rsid w:val="00DA46C7"/>
    <w:rsid w:val="00DA4C47"/>
    <w:rsid w:val="00DC112E"/>
    <w:rsid w:val="00DC1C49"/>
    <w:rsid w:val="00DC4B20"/>
    <w:rsid w:val="00DC4FC9"/>
    <w:rsid w:val="00DC6503"/>
    <w:rsid w:val="00DC7EA1"/>
    <w:rsid w:val="00DD476E"/>
    <w:rsid w:val="00DD5335"/>
    <w:rsid w:val="00DD7C52"/>
    <w:rsid w:val="00DE2E96"/>
    <w:rsid w:val="00DF0E97"/>
    <w:rsid w:val="00DF15B7"/>
    <w:rsid w:val="00DF57B4"/>
    <w:rsid w:val="00E003EC"/>
    <w:rsid w:val="00E016B0"/>
    <w:rsid w:val="00E02B2A"/>
    <w:rsid w:val="00E03C0C"/>
    <w:rsid w:val="00E03F09"/>
    <w:rsid w:val="00E04496"/>
    <w:rsid w:val="00E11243"/>
    <w:rsid w:val="00E13CDC"/>
    <w:rsid w:val="00E2212F"/>
    <w:rsid w:val="00E22D7D"/>
    <w:rsid w:val="00E238F9"/>
    <w:rsid w:val="00E251D2"/>
    <w:rsid w:val="00E25CAA"/>
    <w:rsid w:val="00E267F2"/>
    <w:rsid w:val="00E270D5"/>
    <w:rsid w:val="00E27659"/>
    <w:rsid w:val="00E320C3"/>
    <w:rsid w:val="00E36BC9"/>
    <w:rsid w:val="00E51B27"/>
    <w:rsid w:val="00E6633A"/>
    <w:rsid w:val="00E71D5C"/>
    <w:rsid w:val="00E73234"/>
    <w:rsid w:val="00E73C47"/>
    <w:rsid w:val="00E810DC"/>
    <w:rsid w:val="00E83192"/>
    <w:rsid w:val="00E834D5"/>
    <w:rsid w:val="00E8470F"/>
    <w:rsid w:val="00E87E12"/>
    <w:rsid w:val="00E923CE"/>
    <w:rsid w:val="00E943FF"/>
    <w:rsid w:val="00EA18AE"/>
    <w:rsid w:val="00EA33FF"/>
    <w:rsid w:val="00EA767E"/>
    <w:rsid w:val="00EB06B2"/>
    <w:rsid w:val="00EB0977"/>
    <w:rsid w:val="00EB13C5"/>
    <w:rsid w:val="00EB2E12"/>
    <w:rsid w:val="00EB3727"/>
    <w:rsid w:val="00EB3F7D"/>
    <w:rsid w:val="00EB49FA"/>
    <w:rsid w:val="00EB5854"/>
    <w:rsid w:val="00EC4D39"/>
    <w:rsid w:val="00EC5E10"/>
    <w:rsid w:val="00EE39BE"/>
    <w:rsid w:val="00EE73E7"/>
    <w:rsid w:val="00EF03F0"/>
    <w:rsid w:val="00EF5830"/>
    <w:rsid w:val="00EF6C4B"/>
    <w:rsid w:val="00F06E88"/>
    <w:rsid w:val="00F06ED1"/>
    <w:rsid w:val="00F072E1"/>
    <w:rsid w:val="00F07F37"/>
    <w:rsid w:val="00F13DDE"/>
    <w:rsid w:val="00F261C7"/>
    <w:rsid w:val="00F2664D"/>
    <w:rsid w:val="00F2792D"/>
    <w:rsid w:val="00F30418"/>
    <w:rsid w:val="00F3215E"/>
    <w:rsid w:val="00F3231F"/>
    <w:rsid w:val="00F3402F"/>
    <w:rsid w:val="00F36726"/>
    <w:rsid w:val="00F4065F"/>
    <w:rsid w:val="00F41CC2"/>
    <w:rsid w:val="00F52D73"/>
    <w:rsid w:val="00F65834"/>
    <w:rsid w:val="00F66B6F"/>
    <w:rsid w:val="00F7098C"/>
    <w:rsid w:val="00F74DA3"/>
    <w:rsid w:val="00F76B48"/>
    <w:rsid w:val="00F86934"/>
    <w:rsid w:val="00F91DFA"/>
    <w:rsid w:val="00F95288"/>
    <w:rsid w:val="00F9791B"/>
    <w:rsid w:val="00FA313D"/>
    <w:rsid w:val="00FA7613"/>
    <w:rsid w:val="00FB2AFC"/>
    <w:rsid w:val="00FB3BCD"/>
    <w:rsid w:val="00FB420C"/>
    <w:rsid w:val="00FB7A39"/>
    <w:rsid w:val="00FC0E1D"/>
    <w:rsid w:val="00FC53DA"/>
    <w:rsid w:val="00FD16A9"/>
    <w:rsid w:val="00FD2AD8"/>
    <w:rsid w:val="00FD667E"/>
    <w:rsid w:val="00FE01D7"/>
    <w:rsid w:val="00FE4758"/>
    <w:rsid w:val="00FF004E"/>
    <w:rsid w:val="00FF0203"/>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2E1D39"/>
  <w15:docId w15:val="{8F6A04DA-0179-453E-9B57-7E0E04E8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4996"/>
    <w:rPr>
      <w:rFonts w:ascii="Times New Roman" w:eastAsia="Times New Roman" w:hAnsi="Times New Roman" w:cs="Times New Roman"/>
      <w:sz w:val="24"/>
      <w:szCs w:val="24"/>
      <w:lang w:eastAsia="en-GB"/>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bCs/>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b/>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b/>
      <w:i/>
      <w:iCs/>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cs="Arial"/>
      <w:i/>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785B9B"/>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785B9B"/>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2F43F2"/>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E73234"/>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E73234"/>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A27742"/>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A27742"/>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2F43F2"/>
    <w:pPr>
      <w:spacing w:before="220" w:after="240"/>
      <w:jc w:val="both"/>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2F43F2"/>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F43F2"/>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A84996"/>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hAnsi="Arial Unicode MS"/>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hAnsi="Cambria Math"/>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hAnsi="Arial Unicode MS"/>
      <w:b/>
      <w:i/>
      <w:sz w:val="36"/>
      <w:szCs w:val="20"/>
    </w:rPr>
  </w:style>
  <w:style w:type="paragraph" w:customStyle="1" w:styleId="ChapterTitle">
    <w:name w:val="ChapterTitle"/>
    <w:basedOn w:val="ChapterNumber"/>
    <w:rsid w:val="00586A35"/>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hAnsi="Cambria Math"/>
      <w:color w:val="006666"/>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hAnsi="Arial Unicode MS"/>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hAnsi="Cambria Math"/>
      <w:color w:val="006666"/>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hAnsi="Cambria Math"/>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hAnsi="Cambria Math"/>
      <w:color w:val="007A37"/>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color w:val="666633"/>
      <w:lang w:val="en-GB" w:bidi="ar-DZ"/>
    </w:rPr>
  </w:style>
  <w:style w:type="paragraph" w:customStyle="1" w:styleId="Extract">
    <w:name w:val="Extract"/>
    <w:basedOn w:val="Normal"/>
    <w:rsid w:val="00586A35"/>
    <w:pPr>
      <w:spacing w:before="120" w:after="120"/>
      <w:ind w:left="360" w:right="360"/>
      <w:contextualSpacing/>
    </w:pPr>
    <w:rPr>
      <w:rFonts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szCs w:val="20"/>
    </w:rPr>
  </w:style>
  <w:style w:type="paragraph" w:customStyle="1" w:styleId="Hint">
    <w:name w:val="Hint"/>
    <w:basedOn w:val="Normal"/>
    <w:rsid w:val="00586A35"/>
    <w:pPr>
      <w:spacing w:line="360" w:lineRule="auto"/>
    </w:pPr>
    <w:rPr>
      <w:color w:val="993300"/>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hAnsi="Arial Unicode MS"/>
      <w:b/>
      <w:i/>
      <w:szCs w:val="20"/>
    </w:rPr>
  </w:style>
  <w:style w:type="paragraph" w:customStyle="1" w:styleId="MarginNote">
    <w:name w:val="MarginNote"/>
    <w:basedOn w:val="Normal"/>
    <w:qFormat/>
    <w:rsid w:val="00586A35"/>
    <w:pPr>
      <w:spacing w:line="560" w:lineRule="exact"/>
      <w:ind w:left="-720"/>
    </w:pPr>
    <w:rPr>
      <w:rFonts w:ascii="Cambria Math" w:hAnsi="Cambria Math"/>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hAnsi="Arial Unicode MS"/>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hAnsi="Arial Unicode MS"/>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hAnsi="Cambria Math"/>
      <w:color w:val="000000"/>
      <w:szCs w:val="20"/>
    </w:rPr>
  </w:style>
  <w:style w:type="paragraph" w:customStyle="1" w:styleId="Proof">
    <w:name w:val="Proof"/>
    <w:basedOn w:val="Normal"/>
    <w:qFormat/>
    <w:rsid w:val="00586A35"/>
    <w:pPr>
      <w:spacing w:line="560" w:lineRule="exact"/>
      <w:ind w:firstLine="720"/>
    </w:pPr>
    <w:rPr>
      <w:rFonts w:ascii="Cambria Math" w:hAnsi="Cambria Math"/>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hAnsi="Arial Unicode MS"/>
      <w:color w:val="000000"/>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hAnsi="Cambria Math"/>
      <w:color w:val="4F272F"/>
      <w:szCs w:val="20"/>
    </w:rPr>
  </w:style>
  <w:style w:type="paragraph" w:customStyle="1" w:styleId="QuestionFillblank">
    <w:name w:val="Question_Fillblank"/>
    <w:basedOn w:val="Normal"/>
    <w:rsid w:val="00586A35"/>
    <w:pPr>
      <w:spacing w:after="240"/>
    </w:pPr>
    <w:rPr>
      <w:lang w:val="en-GB" w:bidi="ar-DZ"/>
    </w:rPr>
  </w:style>
  <w:style w:type="paragraph" w:customStyle="1" w:styleId="QuestionMatch">
    <w:name w:val="Question_Match"/>
    <w:basedOn w:val="Normal"/>
    <w:rsid w:val="00586A35"/>
    <w:pPr>
      <w:spacing w:after="240"/>
    </w:pPr>
    <w:rPr>
      <w:lang w:val="en-GB" w:bidi="ar-DZ"/>
    </w:rPr>
  </w:style>
  <w:style w:type="paragraph" w:customStyle="1" w:styleId="QuestionMultiCh">
    <w:name w:val="Question_MultiCh"/>
    <w:basedOn w:val="Normal"/>
    <w:rsid w:val="00586A35"/>
    <w:pPr>
      <w:spacing w:after="240"/>
    </w:pPr>
    <w:rPr>
      <w:lang w:val="en-GB" w:bidi="ar-DZ"/>
    </w:rPr>
  </w:style>
  <w:style w:type="paragraph" w:customStyle="1" w:styleId="QuestionTrueFalse">
    <w:name w:val="Question_TrueFalse"/>
    <w:basedOn w:val="Normal"/>
    <w:rsid w:val="00586A35"/>
    <w:pPr>
      <w:spacing w:after="240"/>
    </w:pPr>
    <w:rPr>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hAnsi="Cambria Math"/>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hAnsi="Cambria Math"/>
      <w:color w:val="760016"/>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olor w:val="FF0000"/>
      <w:szCs w:val="20"/>
    </w:rPr>
  </w:style>
  <w:style w:type="paragraph" w:customStyle="1" w:styleId="Worksolution">
    <w:name w:val="Worksolution"/>
    <w:basedOn w:val="Normal"/>
    <w:rsid w:val="00586A35"/>
    <w:rPr>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noProof/>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ind w:left="40" w:firstLine="720"/>
    </w:pPr>
    <w:rPr>
      <w:rFonts w:asciiTheme="majorHAnsi" w:hAnsiTheme="majorHAnsi"/>
      <w:sz w:val="22"/>
    </w:rPr>
  </w:style>
  <w:style w:type="character" w:customStyle="1" w:styleId="text-base">
    <w:name w:val="text-base"/>
    <w:basedOn w:val="DefaultParagraphFont"/>
    <w:rsid w:val="00D341FA"/>
  </w:style>
  <w:style w:type="character" w:customStyle="1" w:styleId="UnresolvedMention1">
    <w:name w:val="Unresolved Mention1"/>
    <w:basedOn w:val="DefaultParagraphFont"/>
    <w:uiPriority w:val="99"/>
    <w:semiHidden/>
    <w:unhideWhenUsed/>
    <w:rsid w:val="00672ABE"/>
    <w:rPr>
      <w:color w:val="605E5C"/>
      <w:shd w:val="clear" w:color="auto" w:fill="E1DFDD"/>
    </w:rPr>
  </w:style>
  <w:style w:type="paragraph" w:styleId="Revision">
    <w:name w:val="Revision"/>
    <w:hidden/>
    <w:uiPriority w:val="99"/>
    <w:semiHidden/>
    <w:rsid w:val="003F3012"/>
    <w:rPr>
      <w:rFonts w:ascii="Linux Libertine" w:eastAsiaTheme="minorHAnsi" w:hAnsi="Linux Libertine" w:cstheme="minorBidi"/>
      <w:sz w:val="18"/>
      <w:szCs w:val="22"/>
      <w:lang w:val="en-US" w:eastAsia="en-US"/>
    </w:rPr>
  </w:style>
  <w:style w:type="character" w:styleId="UnresolvedMention">
    <w:name w:val="Unresolved Mention"/>
    <w:basedOn w:val="DefaultParagraphFont"/>
    <w:uiPriority w:val="99"/>
    <w:semiHidden/>
    <w:unhideWhenUsed/>
    <w:rsid w:val="00A277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01887577">
      <w:bodyDiv w:val="1"/>
      <w:marLeft w:val="0"/>
      <w:marRight w:val="0"/>
      <w:marTop w:val="0"/>
      <w:marBottom w:val="0"/>
      <w:divBdr>
        <w:top w:val="none" w:sz="0" w:space="0" w:color="auto"/>
        <w:left w:val="none" w:sz="0" w:space="0" w:color="auto"/>
        <w:bottom w:val="none" w:sz="0" w:space="0" w:color="auto"/>
        <w:right w:val="none" w:sz="0" w:space="0" w:color="auto"/>
      </w:divBdr>
      <w:divsChild>
        <w:div w:id="947930321">
          <w:marLeft w:val="0"/>
          <w:marRight w:val="0"/>
          <w:marTop w:val="0"/>
          <w:marBottom w:val="0"/>
          <w:divBdr>
            <w:top w:val="none" w:sz="0" w:space="0" w:color="auto"/>
            <w:left w:val="none" w:sz="0" w:space="0" w:color="auto"/>
            <w:bottom w:val="none" w:sz="0" w:space="0" w:color="auto"/>
            <w:right w:val="none" w:sz="0" w:space="0" w:color="auto"/>
          </w:divBdr>
          <w:divsChild>
            <w:div w:id="1345858221">
              <w:marLeft w:val="0"/>
              <w:marRight w:val="0"/>
              <w:marTop w:val="0"/>
              <w:marBottom w:val="0"/>
              <w:divBdr>
                <w:top w:val="none" w:sz="0" w:space="0" w:color="auto"/>
                <w:left w:val="none" w:sz="0" w:space="0" w:color="auto"/>
                <w:bottom w:val="none" w:sz="0" w:space="0" w:color="auto"/>
                <w:right w:val="none" w:sz="0" w:space="0" w:color="auto"/>
              </w:divBdr>
              <w:divsChild>
                <w:div w:id="124140197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19995417">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1755553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495804232">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anxdis.2016.04.004" TargetMode="External"/><Relationship Id="rId21" Type="http://schemas.openxmlformats.org/officeDocument/2006/relationships/hyperlink" Target="https://doi.org/10.1016/j.cognition.2004.05.002" TargetMode="External"/><Relationship Id="rId42" Type="http://schemas.openxmlformats.org/officeDocument/2006/relationships/hyperlink" Target="https://doi.org/10.1016/S0149-7634(00)00025-7" TargetMode="External"/><Relationship Id="rId47" Type="http://schemas.openxmlformats.org/officeDocument/2006/relationships/hyperlink" Target="https://doi.org/10.1080/13506280544000192" TargetMode="External"/><Relationship Id="rId63" Type="http://schemas.openxmlformats.org/officeDocument/2006/relationships/hyperlink" Target="https://doi.org/10.1016/j.concog.2019.102794" TargetMode="External"/><Relationship Id="rId68" Type="http://schemas.openxmlformats.org/officeDocument/2006/relationships/hyperlink" Target="https://doi.org/10.1016/j.cognition.2018.05.020" TargetMode="External"/><Relationship Id="rId84" Type="http://schemas.openxmlformats.org/officeDocument/2006/relationships/hyperlink" Target="https://doi.org/10.1371/journal.pone.0059471" TargetMode="External"/><Relationship Id="rId89" Type="http://schemas.openxmlformats.org/officeDocument/2006/relationships/hyperlink" Target="https://doi.org/10.1038/srep06669" TargetMode="External"/><Relationship Id="rId112" Type="http://schemas.openxmlformats.org/officeDocument/2006/relationships/fontTable" Target="fontTable.xml"/><Relationship Id="rId16" Type="http://schemas.openxmlformats.org/officeDocument/2006/relationships/image" Target="media/image5.tiff"/><Relationship Id="rId107" Type="http://schemas.openxmlformats.org/officeDocument/2006/relationships/hyperlink" Target="https://doi.org/10.1016/j.cognition.2009.10.016" TargetMode="External"/><Relationship Id="rId11" Type="http://schemas.openxmlformats.org/officeDocument/2006/relationships/footer" Target="footer2.xml"/><Relationship Id="rId32" Type="http://schemas.openxmlformats.org/officeDocument/2006/relationships/hyperlink" Target="https://doi.org/10.1007/s00221-017-4909-4" TargetMode="External"/><Relationship Id="rId37" Type="http://schemas.openxmlformats.org/officeDocument/2006/relationships/hyperlink" Target="https://doi.org/10.1177/0301006615594936" TargetMode="External"/><Relationship Id="rId53" Type="http://schemas.openxmlformats.org/officeDocument/2006/relationships/hyperlink" Target="https://doi.org/10.1097/00001756-199911080-00033" TargetMode="External"/><Relationship Id="rId58" Type="http://schemas.openxmlformats.org/officeDocument/2006/relationships/hyperlink" Target="https://doi.org/10.1016/j.physbeh.2005.01.002" TargetMode="External"/><Relationship Id="rId74" Type="http://schemas.openxmlformats.org/officeDocument/2006/relationships/hyperlink" Target="https://doi.org/10.1016/j.tics.2004.12.004" TargetMode="External"/><Relationship Id="rId79" Type="http://schemas.openxmlformats.org/officeDocument/2006/relationships/hyperlink" Target="https://doi.org/10.1371/journal.pone.0212450" TargetMode="External"/><Relationship Id="rId102" Type="http://schemas.openxmlformats.org/officeDocument/2006/relationships/hyperlink" Target="https://doi.org/10.1080/02699930500405550" TargetMode="External"/><Relationship Id="rId5" Type="http://schemas.openxmlformats.org/officeDocument/2006/relationships/settings" Target="settings.xml"/><Relationship Id="rId90" Type="http://schemas.openxmlformats.org/officeDocument/2006/relationships/hyperlink" Target="https://doi.org/10.1080/00335558008248231" TargetMode="External"/><Relationship Id="rId95" Type="http://schemas.openxmlformats.org/officeDocument/2006/relationships/hyperlink" Target="https://doi.org/10.1037/a0019152" TargetMode="External"/><Relationship Id="rId22" Type="http://schemas.openxmlformats.org/officeDocument/2006/relationships/hyperlink" Target="https://doi.org/10.1080/02724980443000124" TargetMode="External"/><Relationship Id="rId27" Type="http://schemas.openxmlformats.org/officeDocument/2006/relationships/hyperlink" Target="https://doi.org/10.3389/fpsyg.2019.01000" TargetMode="External"/><Relationship Id="rId43" Type="http://schemas.openxmlformats.org/officeDocument/2006/relationships/hyperlink" Target="https://doi.org/10.3758/BF03193146" TargetMode="External"/><Relationship Id="rId48" Type="http://schemas.openxmlformats.org/officeDocument/2006/relationships/hyperlink" Target="https://doi.org/10.1016/j.ijpsycho.2011.11.014" TargetMode="External"/><Relationship Id="rId64" Type="http://schemas.openxmlformats.org/officeDocument/2006/relationships/hyperlink" Target="https://doi.org/10.1111/j.1468-5884.2011.00470.x" TargetMode="External"/><Relationship Id="rId69" Type="http://schemas.openxmlformats.org/officeDocument/2006/relationships/hyperlink" Target="https://doi.org/10.1016/j.cortex.2015.12.005" TargetMode="External"/><Relationship Id="rId113" Type="http://schemas.openxmlformats.org/officeDocument/2006/relationships/theme" Target="theme/theme1.xml"/><Relationship Id="rId80" Type="http://schemas.openxmlformats.org/officeDocument/2006/relationships/hyperlink" Target="https://doi.org/10.1080/13506285.2017.1420118" TargetMode="External"/><Relationship Id="rId85" Type="http://schemas.openxmlformats.org/officeDocument/2006/relationships/hyperlink" Target="https://doi.org/10.1371/journal.pone.0025608" TargetMode="External"/><Relationship Id="rId12" Type="http://schemas.openxmlformats.org/officeDocument/2006/relationships/image" Target="media/image1.tiff"/><Relationship Id="rId17" Type="http://schemas.openxmlformats.org/officeDocument/2006/relationships/hyperlink" Target="https://doi.org/10.1016/j.paid.2010.06.016" TargetMode="External"/><Relationship Id="rId33" Type="http://schemas.openxmlformats.org/officeDocument/2006/relationships/hyperlink" Target="https://doi.org/10.1080/02699931.2018.1554554" TargetMode="External"/><Relationship Id="rId38" Type="http://schemas.openxmlformats.org/officeDocument/2006/relationships/hyperlink" Target="https://doi.org/10.1098/rsbl.2011.0881" TargetMode="External"/><Relationship Id="rId59" Type="http://schemas.openxmlformats.org/officeDocument/2006/relationships/hyperlink" Target="https://doi.org/10.1007/s10803-012-1510-3" TargetMode="External"/><Relationship Id="rId103" Type="http://schemas.openxmlformats.org/officeDocument/2006/relationships/hyperlink" Target="https://doi.org/10.1016/j.psyneuen.2013.02.018" TargetMode="External"/><Relationship Id="rId108" Type="http://schemas.openxmlformats.org/officeDocument/2006/relationships/hyperlink" Target="https://doi.org/10.1371/journal.pone.0045391" TargetMode="External"/><Relationship Id="rId54" Type="http://schemas.openxmlformats.org/officeDocument/2006/relationships/hyperlink" Target="https://doi.org/10.1037/0096-1523.29.6.1228" TargetMode="External"/><Relationship Id="rId70" Type="http://schemas.openxmlformats.org/officeDocument/2006/relationships/hyperlink" Target="https://doi.org/10.3758/s13414-025-03015-8" TargetMode="External"/><Relationship Id="rId75" Type="http://schemas.openxmlformats.org/officeDocument/2006/relationships/hyperlink" Target="https://doi.org/10.1371/journal.pone.0025117" TargetMode="External"/><Relationship Id="rId91" Type="http://schemas.openxmlformats.org/officeDocument/2006/relationships/hyperlink" Target="https://doi.org/10.3758/s13423-011-0053-5" TargetMode="External"/><Relationship Id="rId96" Type="http://schemas.openxmlformats.org/officeDocument/2006/relationships/hyperlink" Target="https://doi.org/10.1093/geronb/gbu088"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tiff"/><Relationship Id="rId23" Type="http://schemas.openxmlformats.org/officeDocument/2006/relationships/hyperlink" Target="https://doi.org/10.1080/13506285.2010.484657" TargetMode="External"/><Relationship Id="rId28" Type="http://schemas.openxmlformats.org/officeDocument/2006/relationships/hyperlink" Target="https://doi.org/10.1007/s10339-015-0661-5" TargetMode="External"/><Relationship Id="rId36" Type="http://schemas.openxmlformats.org/officeDocument/2006/relationships/hyperlink" Target="https://doi.org/10.3758/s13423-020-01730-x" TargetMode="External"/><Relationship Id="rId49" Type="http://schemas.openxmlformats.org/officeDocument/2006/relationships/hyperlink" Target="https://doi.org/10.1016/j.actpsy.2023.104121" TargetMode="External"/><Relationship Id="rId57" Type="http://schemas.openxmlformats.org/officeDocument/2006/relationships/hyperlink" Target="https://doi.org/10.1016/j.bandc.2005.05.002" TargetMode="External"/><Relationship Id="rId106" Type="http://schemas.openxmlformats.org/officeDocument/2006/relationships/hyperlink" Target="https://doi.org/10.1038/s44159-022-00030-6" TargetMode="External"/><Relationship Id="rId10" Type="http://schemas.openxmlformats.org/officeDocument/2006/relationships/footer" Target="footer1.xml"/><Relationship Id="rId31" Type="http://schemas.openxmlformats.org/officeDocument/2006/relationships/hyperlink" Target="https://doi.org/10.1038/srep41062" TargetMode="External"/><Relationship Id="rId44" Type="http://schemas.openxmlformats.org/officeDocument/2006/relationships/hyperlink" Target="https://doi.org/10.1016/j.brainres.2011.05.041" TargetMode="External"/><Relationship Id="rId52" Type="http://schemas.openxmlformats.org/officeDocument/2006/relationships/hyperlink" Target="https://doi.org/10.1038/srep44221" TargetMode="External"/><Relationship Id="rId60" Type="http://schemas.openxmlformats.org/officeDocument/2006/relationships/hyperlink" Target="https://doi.org/10.1016/j.concog.2012.10.005" TargetMode="External"/><Relationship Id="rId65" Type="http://schemas.openxmlformats.org/officeDocument/2006/relationships/hyperlink" Target="https://doi.org/10.1521/soco.2011.29.4.476" TargetMode="External"/><Relationship Id="rId73" Type="http://schemas.openxmlformats.org/officeDocument/2006/relationships/hyperlink" Target="https://doi.org/10.1080/17470919.2014.958616" TargetMode="External"/><Relationship Id="rId78" Type="http://schemas.openxmlformats.org/officeDocument/2006/relationships/hyperlink" Target="https://doi.org/10.1080/13506280344000095" TargetMode="External"/><Relationship Id="rId81" Type="http://schemas.openxmlformats.org/officeDocument/2006/relationships/hyperlink" Target="https://doi.org/10.3390/vision2010011" TargetMode="External"/><Relationship Id="rId86" Type="http://schemas.openxmlformats.org/officeDocument/2006/relationships/hyperlink" Target="https://doi.org/10.1371/journal.pone.0168111" TargetMode="External"/><Relationship Id="rId94" Type="http://schemas.openxmlformats.org/officeDocument/2006/relationships/hyperlink" Target="https://doi.org/10.1037/a0014348" TargetMode="External"/><Relationship Id="rId99" Type="http://schemas.openxmlformats.org/officeDocument/2006/relationships/hyperlink" Target="https://doi.org/10.1080/20445911.2014.945457" TargetMode="External"/><Relationship Id="rId101" Type="http://schemas.openxmlformats.org/officeDocument/2006/relationships/hyperlink" Target="https://doi.org/10.3758/APP.72.3.695"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tif"/><Relationship Id="rId18" Type="http://schemas.openxmlformats.org/officeDocument/2006/relationships/hyperlink" Target="https://doi.org/10.7551/mitpress/4635.001.0001" TargetMode="External"/><Relationship Id="rId39" Type="http://schemas.openxmlformats.org/officeDocument/2006/relationships/hyperlink" Target="https://doi.org/10.1098/rsbl.2006.0564" TargetMode="External"/><Relationship Id="rId109" Type="http://schemas.openxmlformats.org/officeDocument/2006/relationships/hyperlink" Target="https://doi.org/10.1111/j.1467-9280.2009.02321.x" TargetMode="External"/><Relationship Id="rId34" Type="http://schemas.openxmlformats.org/officeDocument/2006/relationships/hyperlink" Target="https://doi.org/10.1371/journal.pone.0114077" TargetMode="External"/><Relationship Id="rId50" Type="http://schemas.openxmlformats.org/officeDocument/2006/relationships/hyperlink" Target="https://doi.org/10.1038/nn827" TargetMode="External"/><Relationship Id="rId55" Type="http://schemas.openxmlformats.org/officeDocument/2006/relationships/hyperlink" Target="https://doi.org/10.1037/0096-1523.29.6.1228" TargetMode="External"/><Relationship Id="rId76" Type="http://schemas.openxmlformats.org/officeDocument/2006/relationships/hyperlink" Target="https://doi.org/10.1080/713756671" TargetMode="External"/><Relationship Id="rId97" Type="http://schemas.openxmlformats.org/officeDocument/2006/relationships/hyperlink" Target="https://doi.org/10.1016/j.cognition.2017.12.011" TargetMode="External"/><Relationship Id="rId104" Type="http://schemas.openxmlformats.org/officeDocument/2006/relationships/hyperlink" Target="https://doi.org/10.1017/S0140525X05000129" TargetMode="External"/><Relationship Id="rId7" Type="http://schemas.openxmlformats.org/officeDocument/2006/relationships/footnotes" Target="footnotes.xml"/><Relationship Id="rId71" Type="http://schemas.openxmlformats.org/officeDocument/2006/relationships/hyperlink" Target="https://doi.org/10.1080/135062899394939" TargetMode="External"/><Relationship Id="rId92" Type="http://schemas.openxmlformats.org/officeDocument/2006/relationships/hyperlink" Target="https://doi.org/10.1080/13506285.2013.864739" TargetMode="External"/><Relationship Id="rId2" Type="http://schemas.openxmlformats.org/officeDocument/2006/relationships/customXml" Target="../customXml/item2.xml"/><Relationship Id="rId29" Type="http://schemas.openxmlformats.org/officeDocument/2006/relationships/hyperlink" Target="https://doi.org/10.1111/ejn.13038" TargetMode="External"/><Relationship Id="rId24" Type="http://schemas.openxmlformats.org/officeDocument/2006/relationships/hyperlink" Target="https://doi.org/10.1111/j.1467-9280.2006.01737.x" TargetMode="External"/><Relationship Id="rId40" Type="http://schemas.openxmlformats.org/officeDocument/2006/relationships/hyperlink" Target="https://doi.org/10.3758/s13414-010-0001-x" TargetMode="External"/><Relationship Id="rId45" Type="http://schemas.openxmlformats.org/officeDocument/2006/relationships/hyperlink" Target="https://doi.org/10.1037/1528-3542.7.3.478" TargetMode="External"/><Relationship Id="rId66" Type="http://schemas.openxmlformats.org/officeDocument/2006/relationships/hyperlink" Target="https://doi.org/10.1016/j.cognition.2019.03.010" TargetMode="External"/><Relationship Id="rId87" Type="http://schemas.openxmlformats.org/officeDocument/2006/relationships/hyperlink" Target="https://doi.org/10.3389/fpsyg.2015.00454" TargetMode="External"/><Relationship Id="rId110" Type="http://schemas.openxmlformats.org/officeDocument/2006/relationships/hyperlink" Target="https://doi.org/10.1016/S0893-6080(98)00066-5" TargetMode="External"/><Relationship Id="rId61" Type="http://schemas.openxmlformats.org/officeDocument/2006/relationships/hyperlink" Target="https://doi.org/10.1177/20416695221095884" TargetMode="External"/><Relationship Id="rId82" Type="http://schemas.openxmlformats.org/officeDocument/2006/relationships/hyperlink" Target="https://doi.org/10.1037/cep0000315" TargetMode="External"/><Relationship Id="rId19" Type="http://schemas.openxmlformats.org/officeDocument/2006/relationships/hyperlink" Target="https://doi.org/10.1080/13506285.2011.552895" TargetMode="External"/><Relationship Id="rId14" Type="http://schemas.openxmlformats.org/officeDocument/2006/relationships/image" Target="media/image3.tiff"/><Relationship Id="rId30" Type="http://schemas.openxmlformats.org/officeDocument/2006/relationships/hyperlink" Target="https://doi.org/10.3389/fpsyg.2017.00738" TargetMode="External"/><Relationship Id="rId35" Type="http://schemas.openxmlformats.org/officeDocument/2006/relationships/hyperlink" Target="https://doi.org/10.3758/s13423-020-01730-x" TargetMode="External"/><Relationship Id="rId56" Type="http://schemas.openxmlformats.org/officeDocument/2006/relationships/hyperlink" Target="https://doi.org/10.1080/17470910903422819" TargetMode="External"/><Relationship Id="rId77" Type="http://schemas.openxmlformats.org/officeDocument/2006/relationships/hyperlink" Target="https://doi.org/10.1016/j.concog.2012.11.012" TargetMode="External"/><Relationship Id="rId100" Type="http://schemas.openxmlformats.org/officeDocument/2006/relationships/hyperlink" Target="https://doi.org/10.1177/1747021820973954" TargetMode="External"/><Relationship Id="rId105" Type="http://schemas.openxmlformats.org/officeDocument/2006/relationships/hyperlink" Target="https://doi.org/10.1037/0022-3514.86.6.838" TargetMode="External"/><Relationship Id="rId8" Type="http://schemas.openxmlformats.org/officeDocument/2006/relationships/endnotes" Target="endnotes.xml"/><Relationship Id="rId51" Type="http://schemas.openxmlformats.org/officeDocument/2006/relationships/hyperlink" Target="https://doi.org/10.1111/j.1467-8721.2009.01644.x" TargetMode="External"/><Relationship Id="rId72" Type="http://schemas.openxmlformats.org/officeDocument/2006/relationships/hyperlink" Target="https://doi.org/10.1016/S1364-6613(99)01436-9" TargetMode="External"/><Relationship Id="rId93" Type="http://schemas.openxmlformats.org/officeDocument/2006/relationships/hyperlink" Target="https://doi.org/10.1126/science.1085327" TargetMode="External"/><Relationship Id="rId98" Type="http://schemas.openxmlformats.org/officeDocument/2006/relationships/hyperlink" Target="https://doi.org/10.1080/17470218.2016.1220609" TargetMode="External"/><Relationship Id="rId3" Type="http://schemas.openxmlformats.org/officeDocument/2006/relationships/numbering" Target="numbering.xml"/><Relationship Id="rId25" Type="http://schemas.openxmlformats.org/officeDocument/2006/relationships/hyperlink" Target="https://doi.org/10.1038/2870" TargetMode="External"/><Relationship Id="rId46" Type="http://schemas.openxmlformats.org/officeDocument/2006/relationships/hyperlink" Target="https://doi.org/10.3758/BF03208827" TargetMode="External"/><Relationship Id="rId67" Type="http://schemas.openxmlformats.org/officeDocument/2006/relationships/hyperlink" Target="https://doi.org/10.1080/17470218.2014.975257" TargetMode="External"/><Relationship Id="rId20" Type="http://schemas.openxmlformats.org/officeDocument/2006/relationships/hyperlink" Target="https://doi.org/10.1016/j.cognition.2006.07.012" TargetMode="External"/><Relationship Id="rId41" Type="http://schemas.openxmlformats.org/officeDocument/2006/relationships/hyperlink" Target="https://doi.org/10.1080/135062899394920" TargetMode="External"/><Relationship Id="rId62" Type="http://schemas.openxmlformats.org/officeDocument/2006/relationships/hyperlink" Target="https://doi.org/10.1098/rspb.2009.1575" TargetMode="External"/><Relationship Id="rId83" Type="http://schemas.openxmlformats.org/officeDocument/2006/relationships/hyperlink" Target="https://doi.org/10.1016/j.concog.2007.06.014" TargetMode="External"/><Relationship Id="rId88" Type="http://schemas.openxmlformats.org/officeDocument/2006/relationships/hyperlink" Target="https://doi.org/10.1007/s10339-013-0559-z" TargetMode="External"/><Relationship Id="rId111" Type="http://schemas.openxmlformats.org/officeDocument/2006/relationships/hyperlink" Target="https://doi.org/10.1016/j.paid.2013.11.0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EE4D2C68-B6CB-46DE-853F-C0800227FBA0}">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90</TotalTime>
  <Pages>10</Pages>
  <Words>9994</Words>
  <Characters>56969</Characters>
  <Application>Microsoft Office Word</Application>
  <DocSecurity>0</DocSecurity>
  <Lines>474</Lines>
  <Paragraphs>133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66830</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
  <cp:lastModifiedBy>Kaloyan Zdravkov</cp:lastModifiedBy>
  <cp:revision>2</cp:revision>
  <cp:lastPrinted>2025-07-11T05:56:00Z</cp:lastPrinted>
  <dcterms:created xsi:type="dcterms:W3CDTF">2025-07-11T05:56:00Z</dcterms:created>
  <dcterms:modified xsi:type="dcterms:W3CDTF">2025-09-07T01:42:00Z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ZOTERO_PREF_1">
    <vt:lpwstr>&lt;data data-version="3" zotero-version="7.0.7"&gt;&lt;session id="YMmvNhjy"/&gt;&lt;style id="http://www.zotero.org/styles/ieee" locale="en-US" hasBibliography="1" bibliographyStyleHasBeenSet="0"/&gt;&lt;prefs&gt;&lt;pref name="fieldType" value="Field"/&gt;&lt;pref name="automaticJourn</vt:lpwstr>
  </property>
  <property fmtid="{D5CDD505-2E9C-101B-9397-08002B2CF9AE}" pid="8" name="ZOTERO_PREF_2">
    <vt:lpwstr>alAbbreviations" value="true"/&gt;&lt;/prefs&gt;&lt;/data&gt;</vt:lpwstr>
  </property>
</Properties>
</file>