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References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Abbie, L. C., Nelson, N. L., &amp; Mondloch, C. J. (2019). No experimental evidence for emotion-specific gaze cueing in a threat context. </w:t>
      </w:r>
      <w:r w:rsidDel="00000000" w:rsidR="00000000" w:rsidRPr="00000000">
        <w:rPr>
          <w:i w:val="1"/>
          <w:iCs w:val="1"/>
          <w:rtl w:val="0"/>
        </w:rPr>
        <w:t xml:space="preserve">Cognition and Emotion, 33</w:t>
      </w:r>
      <w:r w:rsidDel="00000000" w:rsidR="00000000" w:rsidRPr="00000000">
        <w:rPr>
          <w:rtl w:val="0"/>
        </w:rPr>
        <w:t xml:space="preserve">(6), 1144–1154.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https://doi.org/10.1080/02699931.2018.1554554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Bayless, S., Glover, M., Taylor, M. J., &amp; Itier, R. J. (2011). Is it in the eyes? Dissociating the role of emotion and perceptual features of emotionally expressive faces in modulating orienting to eye gaze. </w:t>
      </w:r>
      <w:r w:rsidDel="00000000" w:rsidR="00000000" w:rsidRPr="00000000">
        <w:rPr>
          <w:i w:val="1"/>
          <w:iCs w:val="1"/>
          <w:rtl w:val="0"/>
        </w:rPr>
        <w:t xml:space="preserve">Visual Cognition, 19</w:t>
      </w:r>
      <w:r w:rsidDel="00000000" w:rsidR="00000000" w:rsidRPr="00000000">
        <w:rPr>
          <w:rtl w:val="0"/>
        </w:rPr>
        <w:t xml:space="preserve">(4), 483–510.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https://doi.org/10.1080/13506285.2011.552895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Bayliss, A. P., Di Pellegrino, G., &amp; Tipper, S. P. (2005). Sex differences in eye gaze and symbolic cueing of attention. </w:t>
      </w:r>
      <w:r w:rsidDel="00000000" w:rsidR="00000000" w:rsidRPr="00000000">
        <w:rPr>
          <w:i w:val="1"/>
          <w:iCs w:val="1"/>
          <w:rtl w:val="0"/>
        </w:rPr>
        <w:t xml:space="preserve">The Quarterly Journal of Experimental Psychology, 58</w:t>
      </w:r>
      <w:r w:rsidDel="00000000" w:rsidR="00000000" w:rsidRPr="00000000">
        <w:rPr>
          <w:rtl w:val="0"/>
        </w:rPr>
        <w:t xml:space="preserve">(4), 631–650.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https://doi.org/10.1080/02724980443000124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Bayliss, A. P., Frischen, A., Fenske, M. J., &amp; Tipper, S. P. (2007). Affective evaluations of objects are influenced by observed gaze direction and emotional expression. </w:t>
      </w:r>
      <w:r w:rsidDel="00000000" w:rsidR="00000000" w:rsidRPr="00000000">
        <w:rPr>
          <w:i w:val="1"/>
          <w:iCs w:val="1"/>
          <w:rtl w:val="0"/>
        </w:rPr>
        <w:t xml:space="preserve">Cognition, 104</w:t>
      </w:r>
      <w:r w:rsidDel="00000000" w:rsidR="00000000" w:rsidRPr="00000000">
        <w:rPr>
          <w:rtl w:val="0"/>
        </w:rPr>
        <w:t xml:space="preserve">(3), 644–653.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https://doi.org/10.1016/j.cognition.2006.07.012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Beck, A. T., Ward, C. H., Mendelson, M., Mock, J., &amp; Erbauch, J. (1961). Beck Depression Inventory [Dataset]. </w:t>
      </w:r>
      <w:r w:rsidDel="00000000" w:rsidR="00000000" w:rsidRPr="00000000">
        <w:rPr>
          <w:i w:val="1"/>
          <w:iCs w:val="1"/>
          <w:rtl w:val="0"/>
        </w:rPr>
        <w:t xml:space="preserve">PsycTESTS Dataset.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https://doi.org/10.1037/t00741-000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Bodenschatz, C. M., Skopinceva, M., Ruß, T., Kersting, A., &amp; Suslow, T. (2020). Face perception without subjective awareness – Emotional expressions guide early gaze behavior in clinically depressed and healthy individuals. </w:t>
      </w:r>
      <w:r w:rsidDel="00000000" w:rsidR="00000000" w:rsidRPr="00000000">
        <w:rPr>
          <w:i w:val="1"/>
          <w:iCs w:val="1"/>
          <w:rtl w:val="0"/>
        </w:rPr>
        <w:t xml:space="preserve">Journal of Affective Disorders, 265</w:t>
      </w:r>
      <w:r w:rsidDel="00000000" w:rsidR="00000000" w:rsidRPr="00000000">
        <w:rPr>
          <w:rtl w:val="0"/>
        </w:rPr>
        <w:t xml:space="preserve">, 91–98.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https://doi.org/10.1016/j.jad.2020.01.039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Boll, S., Bartholomaeus, M., Peter, U., Lupke, U., &amp; Gamer, M. (2016). Attentional mechanisms of social perception are biased in social phobia. </w:t>
      </w:r>
      <w:r w:rsidDel="00000000" w:rsidR="00000000" w:rsidRPr="00000000">
        <w:rPr>
          <w:i w:val="1"/>
          <w:iCs w:val="1"/>
          <w:rtl w:val="0"/>
        </w:rPr>
        <w:t xml:space="preserve">Journal of Anxiety Disorders, 40</w:t>
      </w:r>
      <w:r w:rsidDel="00000000" w:rsidR="00000000" w:rsidRPr="00000000">
        <w:rPr>
          <w:rtl w:val="0"/>
        </w:rPr>
        <w:t xml:space="preserve">, 83–93.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https://doi.org/10.1016/j.janxdis.2016.04.004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Burton, A. M., Bindemann, M., Langton, S., Schweinberger, S. R., &amp; Jenkins, R. (2009). Gaze perception requires focused attention: Evidence from an interference task. </w:t>
      </w:r>
      <w:r w:rsidDel="00000000" w:rsidR="00000000" w:rsidRPr="00000000">
        <w:rPr>
          <w:i w:val="1"/>
          <w:iCs w:val="1"/>
          <w:rtl w:val="0"/>
        </w:rPr>
        <w:t xml:space="preserve">Journal of Experimental Psychology: Human Perception and Performance, 35</w:t>
      </w:r>
      <w:r w:rsidDel="00000000" w:rsidR="00000000" w:rsidRPr="00000000">
        <w:rPr>
          <w:rtl w:val="0"/>
        </w:rPr>
        <w:t xml:space="preserve">(1), 108–118.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https://doi.org/10.1037/0096-1523.35.1.108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Capellini, R., Riva, P., Ricciardelli, P., &amp; Sacchi, S. (2019). Turning away from averted gazes: The effect of social exclusion on gaze cueing. </w:t>
      </w:r>
      <w:r w:rsidDel="00000000" w:rsidR="00000000" w:rsidRPr="00000000">
        <w:rPr>
          <w:i w:val="1"/>
          <w:iCs w:val="1"/>
          <w:rtl w:val="0"/>
        </w:rPr>
        <w:t xml:space="preserve">Frontiers in Psychology, 10.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https://doi.org/10.3389/fpsyg.2019.01000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Capozzi, F., Bayliss, A. P., &amp; Ristic, J. (2018). Gaze following in multiagent contexts: Evidence for a quorum-like principle. </w:t>
      </w:r>
      <w:r w:rsidDel="00000000" w:rsidR="00000000" w:rsidRPr="00000000">
        <w:rPr>
          <w:i w:val="1"/>
          <w:iCs w:val="1"/>
          <w:rtl w:val="0"/>
        </w:rPr>
        <w:t xml:space="preserve">Psychonomic Bulletin &amp; Review, 25</w:t>
      </w:r>
      <w:r w:rsidDel="00000000" w:rsidR="00000000" w:rsidRPr="00000000">
        <w:rPr>
          <w:rtl w:val="0"/>
        </w:rPr>
        <w:t xml:space="preserve">(6), 2260–2266.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https://doi.org/10.3758/s13423-018-1464-3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Chacón-Candia, J. A., Lupiáñez, J., Casagrande, M., &amp; Marotta, A. (2023). Eye-gaze direction triggers a more specific attentional orienting compared to arrows. </w:t>
      </w:r>
      <w:r w:rsidDel="00000000" w:rsidR="00000000" w:rsidRPr="00000000">
        <w:rPr>
          <w:i w:val="1"/>
          <w:iCs w:val="1"/>
          <w:rtl w:val="0"/>
        </w:rPr>
        <w:t xml:space="preserve">PLOS ONE, 18</w:t>
      </w:r>
      <w:r w:rsidDel="00000000" w:rsidR="00000000" w:rsidRPr="00000000">
        <w:rPr>
          <w:rtl w:val="0"/>
        </w:rPr>
        <w:t xml:space="preserve">(1), e0280955.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https://doi.org/10.1371/journal.pone.0280955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Cui, G., Zhang, S., &amp; Geng, H. (2014). The impact of perceived social power and dangerous context on social attention. </w:t>
      </w:r>
      <w:r w:rsidDel="00000000" w:rsidR="00000000" w:rsidRPr="00000000">
        <w:rPr>
          <w:i w:val="1"/>
          <w:iCs w:val="1"/>
          <w:rtl w:val="0"/>
        </w:rPr>
        <w:t xml:space="preserve">PLOS ONE, 9</w:t>
      </w:r>
      <w:r w:rsidDel="00000000" w:rsidR="00000000" w:rsidRPr="00000000">
        <w:rPr>
          <w:rtl w:val="0"/>
        </w:rPr>
        <w:t xml:space="preserve">(12), e114077.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https://doi.org/10.1371/journal.pone.0114077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Dalmaso, M., Castelli, L., &amp; Galfano, G. (2020). Social modulators of gaze-mediated orienting of attention: A review. </w:t>
      </w:r>
      <w:r w:rsidDel="00000000" w:rsidR="00000000" w:rsidRPr="00000000">
        <w:rPr>
          <w:i w:val="1"/>
          <w:iCs w:val="1"/>
          <w:rtl w:val="0"/>
        </w:rPr>
        <w:t xml:space="preserve">Psychonomic Bulletin &amp; Review, 27</w:t>
      </w:r>
      <w:r w:rsidDel="00000000" w:rsidR="00000000" w:rsidRPr="00000000">
        <w:rPr>
          <w:rtl w:val="0"/>
        </w:rPr>
        <w:t xml:space="preserve">(5), 833–855.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https://doi.org/10.3758/s13423-020-01730-x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Driver, J., Davis, G., Ricciardelli, P., Kidd, P., Maxwell, E., &amp; Baron-Cohen, S. (1999). Gaze perception triggers reflexive visuospatial orienting. </w:t>
      </w:r>
      <w:r w:rsidDel="00000000" w:rsidR="00000000" w:rsidRPr="00000000">
        <w:rPr>
          <w:i w:val="1"/>
          <w:iCs w:val="1"/>
          <w:rtl w:val="0"/>
        </w:rPr>
        <w:t xml:space="preserve">Visual Cognition, 6</w:t>
      </w:r>
      <w:r w:rsidDel="00000000" w:rsidR="00000000" w:rsidRPr="00000000">
        <w:rPr>
          <w:rtl w:val="0"/>
        </w:rPr>
        <w:t xml:space="preserve">(5), 509-540.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Friesen, C. K., &amp; Kingstone, A. (1998). The eyes have it! Reflexive orienting is triggered by nonpredictive gaze. </w:t>
      </w:r>
      <w:r w:rsidDel="00000000" w:rsidR="00000000" w:rsidRPr="00000000">
        <w:rPr>
          <w:i w:val="1"/>
          <w:iCs w:val="1"/>
          <w:rtl w:val="0"/>
        </w:rPr>
        <w:t xml:space="preserve">Psychonomic Bulletin &amp; Review, 5</w:t>
      </w:r>
      <w:r w:rsidDel="00000000" w:rsidR="00000000" w:rsidRPr="00000000">
        <w:rPr>
          <w:rtl w:val="0"/>
        </w:rPr>
        <w:t xml:space="preserve">(3), 490-495.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Greene, D. J., &amp; Zaidel, E. (2011). Hemispheric differences in attentional orienting by social cues. </w:t>
      </w:r>
      <w:r w:rsidDel="00000000" w:rsidR="00000000" w:rsidRPr="00000000">
        <w:rPr>
          <w:i w:val="1"/>
          <w:iCs w:val="1"/>
          <w:rtl w:val="0"/>
        </w:rPr>
        <w:t xml:space="preserve">Neuropsychologia, 49</w:t>
      </w:r>
      <w:r w:rsidDel="00000000" w:rsidR="00000000" w:rsidRPr="00000000">
        <w:rPr>
          <w:rtl w:val="0"/>
        </w:rPr>
        <w:t xml:space="preserve">(1), 61–68.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https://doi.org/10.1016/j.neuropsychologia.2010.11.007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Gregory, N., Bolderston, H., &amp; Antolin, J. V. (2018). Attention to faces and gaze-following in social anxiety: Preliminary evidence from a naturalistic eye-tracking investigation. </w:t>
      </w:r>
      <w:r w:rsidDel="00000000" w:rsidR="00000000" w:rsidRPr="00000000">
        <w:rPr>
          <w:i w:val="1"/>
          <w:iCs w:val="1"/>
          <w:rtl w:val="0"/>
        </w:rPr>
        <w:t xml:space="preserve">Cognition &amp; Emotion, 33</w:t>
      </w:r>
      <w:r w:rsidDel="00000000" w:rsidR="00000000" w:rsidRPr="00000000">
        <w:rPr>
          <w:rtl w:val="0"/>
        </w:rPr>
        <w:t xml:space="preserve">(5), 931–942.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https://doi.org/10.1080/02699931.2018.1519497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Hayward, D. A., &amp; Ristic, J. (2013). Measuring attention using the Posner cuing paradigm: The role of across and within trial target probabilities. </w:t>
      </w:r>
      <w:r w:rsidDel="00000000" w:rsidR="00000000" w:rsidRPr="00000000">
        <w:rPr>
          <w:i w:val="1"/>
          <w:iCs w:val="1"/>
          <w:rtl w:val="0"/>
        </w:rPr>
        <w:t xml:space="preserve">Frontiers in Human Neuroscience, 7.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https://doi.org/10.3389/fnhum.2013.00205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Hermens, F., Bindemann, M., &amp; Burton, A. M. (2017). Responding to social and symbolic extrafoveal cues: Cue shape trumps biological relevance. </w:t>
      </w:r>
      <w:r w:rsidDel="00000000" w:rsidR="00000000" w:rsidRPr="00000000">
        <w:rPr>
          <w:i w:val="1"/>
          <w:iCs w:val="1"/>
          <w:rtl w:val="0"/>
        </w:rPr>
        <w:t xml:space="preserve">Psychological Research, 81</w:t>
      </w:r>
      <w:r w:rsidDel="00000000" w:rsidR="00000000" w:rsidRPr="00000000">
        <w:rPr>
          <w:rtl w:val="0"/>
        </w:rPr>
        <w:t xml:space="preserve">, 24–42.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https://doi.org/10.1007/s00426-015-0733-2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Hietanen, J. K., &amp; Leppänen, J. (2003). Does facial expression affect attention orienting by gaze direction cues? </w:t>
      </w:r>
      <w:r w:rsidDel="00000000" w:rsidR="00000000" w:rsidRPr="00000000">
        <w:rPr>
          <w:i w:val="1"/>
          <w:iCs w:val="1"/>
          <w:rtl w:val="0"/>
        </w:rPr>
        <w:t xml:space="preserve">Journal of Experimental Psychology: Human Perception and Performance, 29</w:t>
      </w:r>
      <w:r w:rsidDel="00000000" w:rsidR="00000000" w:rsidRPr="00000000">
        <w:rPr>
          <w:rtl w:val="0"/>
        </w:rPr>
        <w:t xml:space="preserve">(6), 1228–1243.</w:t>
      </w:r>
      <w:hyperlink r:id="rId39">
        <w:r w:rsidDel="00000000" w:rsidR="00000000" w:rsidRPr="00000000">
          <w:rPr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https://doi.org/10.1037/0096-1523.29.6.1228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Hietanen, J. K., Nummenmaa, L., Nyman, M. J., Parkkola, R., &amp; Hämäläinen, H. (2006). Automatic attention orienting by social and symbolic cues activates different neural networks: An fMRI study. </w:t>
      </w:r>
      <w:r w:rsidDel="00000000" w:rsidR="00000000" w:rsidRPr="00000000">
        <w:rPr>
          <w:i w:val="1"/>
          <w:iCs w:val="1"/>
          <w:rtl w:val="0"/>
        </w:rPr>
        <w:t xml:space="preserve">NeuroImage, 33</w:t>
      </w:r>
      <w:r w:rsidDel="00000000" w:rsidR="00000000" w:rsidRPr="00000000">
        <w:rPr>
          <w:rtl w:val="0"/>
        </w:rPr>
        <w:t xml:space="preserve">(1), 406–413.</w:t>
      </w:r>
      <w:hyperlink r:id="rId41">
        <w:r w:rsidDel="00000000" w:rsidR="00000000" w:rsidRPr="00000000">
          <w:rPr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https://doi.org/10.1016/j.neuroimage.2006.06.048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Itier, R. J., &amp; Batty, M. (2009). Neural bases of eye and gaze processing: The core of social cognition. </w:t>
      </w:r>
      <w:r w:rsidDel="00000000" w:rsidR="00000000" w:rsidRPr="00000000">
        <w:rPr>
          <w:i w:val="1"/>
          <w:iCs w:val="1"/>
          <w:rtl w:val="0"/>
        </w:rPr>
        <w:t xml:space="preserve">Neuroscience &amp; Biobehavioral Reviews, 33</w:t>
      </w:r>
      <w:r w:rsidDel="00000000" w:rsidR="00000000" w:rsidRPr="00000000">
        <w:rPr>
          <w:rtl w:val="0"/>
        </w:rPr>
        <w:t xml:space="preserve">(6), 843–863.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https://doi.org/10.1016/j.neubiorev.2009.02.004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Jones, S. P., &amp; Klin, A. (2013). Attention to eyes is present but in decline in 2–6-month-old infants later diagnosed with autism. </w:t>
      </w:r>
      <w:r w:rsidDel="00000000" w:rsidR="00000000" w:rsidRPr="00000000">
        <w:rPr>
          <w:i w:val="1"/>
          <w:iCs w:val="1"/>
          <w:rtl w:val="0"/>
        </w:rPr>
        <w:t xml:space="preserve">Nature, 504</w:t>
      </w:r>
      <w:r w:rsidDel="00000000" w:rsidR="00000000" w:rsidRPr="00000000">
        <w:rPr>
          <w:rtl w:val="0"/>
        </w:rPr>
        <w:t xml:space="preserve">(7480), 427–431.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https://doi.org/10.1038/nature12715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Kuhn, G., &amp; Kingstone, A. (2009). Look away! Gaze and arrow cues do not trigger automatic orienting of attention. </w:t>
      </w:r>
      <w:r w:rsidDel="00000000" w:rsidR="00000000" w:rsidRPr="00000000">
        <w:rPr>
          <w:i w:val="1"/>
          <w:iCs w:val="1"/>
          <w:rtl w:val="0"/>
        </w:rPr>
        <w:t xml:space="preserve">Psychonomic Bulletin &amp; Review, 16</w:t>
      </w:r>
      <w:r w:rsidDel="00000000" w:rsidR="00000000" w:rsidRPr="00000000">
        <w:rPr>
          <w:rtl w:val="0"/>
        </w:rPr>
        <w:t xml:space="preserve">(1), 1–11.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https://doi.org/10.3758/PBR.16.1.1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Langton, S. R. H., &amp; Bruce, V. (2000). You must see the point: Automatic processing of cues to the direction of social attention. </w:t>
      </w:r>
      <w:r w:rsidDel="00000000" w:rsidR="00000000" w:rsidRPr="00000000">
        <w:rPr>
          <w:i w:val="1"/>
          <w:iCs w:val="1"/>
          <w:rtl w:val="0"/>
        </w:rPr>
        <w:t xml:space="preserve">Journal of Experimental Psychology: Human Perception and Performance, 26</w:t>
      </w:r>
      <w:r w:rsidDel="00000000" w:rsidR="00000000" w:rsidRPr="00000000">
        <w:rPr>
          <w:rtl w:val="0"/>
        </w:rPr>
        <w:t xml:space="preserve">(2), 747–757.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https://doi.org/10.1037/0096-1523.26.2.747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Laidlaw, K. E., Foulsham, T., Kuhn, G., &amp; Kingstone, A. (2011). Potential social interactions are important to social attention. </w:t>
      </w:r>
      <w:r w:rsidDel="00000000" w:rsidR="00000000" w:rsidRPr="00000000">
        <w:rPr>
          <w:i w:val="1"/>
          <w:iCs w:val="1"/>
          <w:rtl w:val="0"/>
        </w:rPr>
        <w:t xml:space="preserve">Proceedings of the National Academy of Sciences, 108</w:t>
      </w:r>
      <w:r w:rsidDel="00000000" w:rsidR="00000000" w:rsidRPr="00000000">
        <w:rPr>
          <w:rtl w:val="0"/>
        </w:rPr>
        <w:t xml:space="preserve">(14), 5548–5553.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https://doi.org/10.1073/pnas.1017022108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Nummenmaa, L., Hietanen, J. K., &amp; Calvo, M. G. (2009). Emotion modulates eye movement to another person’s face. </w:t>
      </w:r>
      <w:r w:rsidDel="00000000" w:rsidR="00000000" w:rsidRPr="00000000">
        <w:rPr>
          <w:i w:val="1"/>
          <w:iCs w:val="1"/>
          <w:rtl w:val="0"/>
        </w:rPr>
        <w:t xml:space="preserve">Emotion, 9</w:t>
      </w:r>
      <w:r w:rsidDel="00000000" w:rsidR="00000000" w:rsidRPr="00000000">
        <w:rPr>
          <w:rtl w:val="0"/>
        </w:rPr>
        <w:t xml:space="preserve">(6), 857–871.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https://doi.org/10.1037/a0017742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Phelps, E. A., Ling, S., &amp; Carrasco, M. (2006). Emotion facilitates perception and attention. </w:t>
      </w:r>
      <w:r w:rsidDel="00000000" w:rsidR="00000000" w:rsidRPr="00000000">
        <w:rPr>
          <w:i w:val="1"/>
          <w:iCs w:val="1"/>
          <w:rtl w:val="0"/>
        </w:rPr>
        <w:t xml:space="preserve">Psychological Science, 17</w:t>
      </w:r>
      <w:r w:rsidDel="00000000" w:rsidR="00000000" w:rsidRPr="00000000">
        <w:rPr>
          <w:rtl w:val="0"/>
        </w:rPr>
        <w:t xml:space="preserve">(4), 292–299.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https://doi.org/10.1111/j.1467-9280.2006.01701.x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Posner, M. I. (1980). Orienting of attention. </w:t>
      </w:r>
      <w:r w:rsidDel="00000000" w:rsidR="00000000" w:rsidRPr="00000000">
        <w:rPr>
          <w:i w:val="1"/>
          <w:iCs w:val="1"/>
          <w:rtl w:val="0"/>
        </w:rPr>
        <w:t xml:space="preserve">Quarterly Journal of Experimental Psychology, 32</w:t>
      </w:r>
      <w:r w:rsidDel="00000000" w:rsidR="00000000" w:rsidRPr="00000000">
        <w:rPr>
          <w:rtl w:val="0"/>
        </w:rPr>
        <w:t xml:space="preserve">(1), 3–25. https://doi.org/10.1080/00335558008248231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Ricciardelli, P., Ro, T., &amp; Driver, J. (2002). A left visual field advantage for the perception of gaze direction. </w:t>
      </w:r>
      <w:r w:rsidDel="00000000" w:rsidR="00000000" w:rsidRPr="00000000">
        <w:rPr>
          <w:i w:val="1"/>
          <w:iCs w:val="1"/>
          <w:rtl w:val="0"/>
        </w:rPr>
        <w:t xml:space="preserve">Neuropsychologia, 40</w:t>
      </w:r>
      <w:r w:rsidDel="00000000" w:rsidR="00000000" w:rsidRPr="00000000">
        <w:rPr>
          <w:rtl w:val="0"/>
        </w:rPr>
        <w:t xml:space="preserve">(7), 769–777.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https://doi.org/10.1016/S0028-3932(01)00178-X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Ristic, J., &amp; Kingstone, A. (2005). Taking control of reflexive social attention. </w:t>
      </w:r>
      <w:r w:rsidDel="00000000" w:rsidR="00000000" w:rsidRPr="00000000">
        <w:rPr>
          <w:i w:val="1"/>
          <w:iCs w:val="1"/>
          <w:rtl w:val="0"/>
        </w:rPr>
        <w:t xml:space="preserve">Cognition, 94</w:t>
      </w:r>
      <w:r w:rsidDel="00000000" w:rsidR="00000000" w:rsidRPr="00000000">
        <w:rPr>
          <w:rtl w:val="0"/>
        </w:rPr>
        <w:t xml:space="preserve">(3), B55–B65. https://doi.org/10.1016/j.cognition.2004.04.005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Sander, D., Grandjean, D., &amp; Vuilleumier, P. (2018). Effects of emotion on attention and perception: Advances and open questions. </w:t>
      </w:r>
      <w:r w:rsidDel="00000000" w:rsidR="00000000" w:rsidRPr="00000000">
        <w:rPr>
          <w:i w:val="1"/>
          <w:iCs w:val="1"/>
          <w:rtl w:val="0"/>
        </w:rPr>
        <w:t xml:space="preserve">Frontiers in Psychology, 9.</w:t>
      </w:r>
      <w:r w:rsidDel="00000000" w:rsidR="00000000" w:rsidRPr="00000000">
        <w:rPr>
          <w:rtl w:val="0"/>
        </w:rPr>
        <w:t xml:space="preserve">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https://doi.org/10.3389/fpsyg.2018.00204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Shepherd, S. V., Deaner, R. O., &amp; Platt, M. L. (2006). Social status gates social attention in monkeys. </w:t>
      </w:r>
      <w:r w:rsidDel="00000000" w:rsidR="00000000" w:rsidRPr="00000000">
        <w:rPr>
          <w:i w:val="1"/>
          <w:iCs w:val="1"/>
          <w:rtl w:val="0"/>
        </w:rPr>
        <w:t xml:space="preserve">Current Biology, 16</w:t>
      </w:r>
      <w:r w:rsidDel="00000000" w:rsidR="00000000" w:rsidRPr="00000000">
        <w:rPr>
          <w:rtl w:val="0"/>
        </w:rPr>
        <w:t xml:space="preserve">(4), R119–R120.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https://doi.org/10.1016/j.cub.2006.02.013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Skuse, D. H. (2003). Fear recognition and the neural basis of social cognition. </w:t>
      </w:r>
      <w:r w:rsidDel="00000000" w:rsidR="00000000" w:rsidRPr="00000000">
        <w:rPr>
          <w:i w:val="1"/>
          <w:iCs w:val="1"/>
          <w:rtl w:val="0"/>
        </w:rPr>
        <w:t xml:space="preserve">Child and Adolescent Mental Health, 8</w:t>
      </w:r>
      <w:r w:rsidDel="00000000" w:rsidR="00000000" w:rsidRPr="00000000">
        <w:rPr>
          <w:rtl w:val="0"/>
        </w:rPr>
        <w:t xml:space="preserve">(2), 50–60. https://doi.org/10.1111/1475-3588.00048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Vuilleumier, P. (2005). How brains beware: Neural mechanisms of emotional attention. </w:t>
      </w:r>
      <w:r w:rsidDel="00000000" w:rsidR="00000000" w:rsidRPr="00000000">
        <w:rPr>
          <w:i w:val="1"/>
          <w:iCs w:val="1"/>
          <w:rtl w:val="0"/>
        </w:rPr>
        <w:t xml:space="preserve">Trends in Cognitive Sciences, 9</w:t>
      </w:r>
      <w:r w:rsidDel="00000000" w:rsidR="00000000" w:rsidRPr="00000000">
        <w:rPr>
          <w:rtl w:val="0"/>
        </w:rPr>
        <w:t xml:space="preserve">(12), 585–594.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https://doi.org/10.1016/j.tics.2005.10.011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Xu, Y., Li, P., &amp; Liu, P. (2015). Influence of social anxiety on gaze cueing effect in a virtual environment. </w:t>
      </w:r>
      <w:r w:rsidDel="00000000" w:rsidR="00000000" w:rsidRPr="00000000">
        <w:rPr>
          <w:i w:val="1"/>
          <w:iCs w:val="1"/>
          <w:rtl w:val="0"/>
        </w:rPr>
        <w:t xml:space="preserve">Frontiers in Psychology, 6.</w:t>
      </w:r>
      <w:r w:rsidDel="00000000" w:rsidR="00000000" w:rsidRPr="00000000">
        <w:rPr>
          <w:rtl w:val="0"/>
        </w:rPr>
        <w:t xml:space="preserve">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https://doi.org/10.3389/fpsyg.2015.01527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Yokoyama, T., Noguchi, Y., &amp; Kita, S. (2013). Unconscious processing of direct gaze: Evidence from an ERP study. </w:t>
      </w:r>
      <w:r w:rsidDel="00000000" w:rsidR="00000000" w:rsidRPr="00000000">
        <w:rPr>
          <w:i w:val="1"/>
          <w:iCs w:val="1"/>
          <w:rtl w:val="0"/>
        </w:rPr>
        <w:t xml:space="preserve">Neuropsychologia, 51</w:t>
      </w:r>
      <w:r w:rsidDel="00000000" w:rsidR="00000000" w:rsidRPr="00000000">
        <w:rPr>
          <w:rtl w:val="0"/>
        </w:rPr>
        <w:t xml:space="preserve">(7), 1027–1033.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https://doi.org/10.1016/j.neuropsychologia.2013.02.023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Zaki, J., &amp; Ochsner, K. (2009). The need for a cognitive neuroscience of naturalistic social cognition. </w:t>
      </w:r>
      <w:r w:rsidDel="00000000" w:rsidR="00000000" w:rsidRPr="00000000">
        <w:rPr>
          <w:i w:val="1"/>
          <w:iCs w:val="1"/>
          <w:rtl w:val="0"/>
        </w:rPr>
        <w:t xml:space="preserve">Annals of the New York Academy of Sciences, 1167</w:t>
      </w:r>
      <w:r w:rsidDel="00000000" w:rsidR="00000000" w:rsidRPr="00000000">
        <w:rPr>
          <w:rtl w:val="0"/>
        </w:rPr>
        <w:t xml:space="preserve">(1), 16–30.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https://doi.org/10.1111/j.1749-6632.2009.04516.x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Baron-Cohen, S., Wheelwright, S., Skinner, R., Martin, J., &amp; Clubley, E. (2001). The Autism-Spectrum Quotient (AQ): Evidence from Asperger syndrome/high-functioning autism, males and females, scientists and mathematicians. </w:t>
      </w:r>
      <w:r w:rsidDel="00000000" w:rsidR="00000000" w:rsidRPr="00000000">
        <w:rPr>
          <w:i w:val="1"/>
          <w:iCs w:val="1"/>
          <w:rtl w:val="0"/>
        </w:rPr>
        <w:t xml:space="preserve">Journal of Autism and Developmental Disorders, 31(1), 5–17</w:t>
      </w:r>
      <w:r w:rsidDel="00000000" w:rsidR="00000000" w:rsidRPr="00000000">
        <w:rPr>
          <w:rtl w:val="0"/>
        </w:rPr>
        <w:t xml:space="preserve">.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https://doi.org/10.1023/A:1005653411471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Spielberger, C. D. (1983). State-Trait Anxiety Inventory for Adults (STAI-AD) [Database record]. </w:t>
      </w:r>
      <w:r w:rsidDel="00000000" w:rsidR="00000000" w:rsidRPr="00000000">
        <w:rPr>
          <w:i w:val="1"/>
          <w:iCs w:val="1"/>
          <w:rtl w:val="0"/>
        </w:rPr>
        <w:t xml:space="preserve">APA PsycTests</w:t>
      </w:r>
      <w:r w:rsidDel="00000000" w:rsidR="00000000" w:rsidRPr="00000000">
        <w:rPr>
          <w:rtl w:val="0"/>
        </w:rPr>
        <w:t xml:space="preserve">.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https://doi.org/10.1037/t06496-000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5750"/>
        <w:tblGridChange w:id="0">
          <w:tblGrid>
            <w:gridCol w:w="3065"/>
            <w:gridCol w:w="5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Gaze cueing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Friesen &amp; Kingstone (1998); Driver et al. (1999);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Hietanen, 1999; Langton &amp; Bruce, 1999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Joint 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Moore &amp; Dunham (2014)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Sense of agency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Haggard (2017); Synofzik et al. (2008); Gallagher (2000)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Agency and perception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Wenke et al. (2011); Teufel et al. (2010)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Synthetic gaze cueing stimuli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Pfeiffer et al. (2011); Bayliss et al. (2006)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ind w:left="-141.73228346456688" w:right="-36.96850393700714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i.org/10.1037/0096-1523.29.6.1228" TargetMode="External"/><Relationship Id="rId42" Type="http://schemas.openxmlformats.org/officeDocument/2006/relationships/hyperlink" Target="https://doi.org/10.1016/j.neuroimage.2006.06.048" TargetMode="External"/><Relationship Id="rId41" Type="http://schemas.openxmlformats.org/officeDocument/2006/relationships/hyperlink" Target="https://doi.org/10.1016/j.neuroimage.2006.06.048" TargetMode="External"/><Relationship Id="rId44" Type="http://schemas.openxmlformats.org/officeDocument/2006/relationships/hyperlink" Target="https://doi.org/10.1038/nature12715" TargetMode="External"/><Relationship Id="rId43" Type="http://schemas.openxmlformats.org/officeDocument/2006/relationships/hyperlink" Target="https://doi.org/10.1016/j.neubiorev.2009.02.004" TargetMode="External"/><Relationship Id="rId46" Type="http://schemas.openxmlformats.org/officeDocument/2006/relationships/hyperlink" Target="https://doi.org/10.1037/0096-1523.26.2.747" TargetMode="External"/><Relationship Id="rId45" Type="http://schemas.openxmlformats.org/officeDocument/2006/relationships/hyperlink" Target="https://doi.org/10.3758/PBR.16.1.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80/02724980443000124" TargetMode="External"/><Relationship Id="rId48" Type="http://schemas.openxmlformats.org/officeDocument/2006/relationships/hyperlink" Target="https://doi.org/10.1037/a0017742" TargetMode="External"/><Relationship Id="rId47" Type="http://schemas.openxmlformats.org/officeDocument/2006/relationships/hyperlink" Target="https://doi.org/10.1073/pnas.1017022108" TargetMode="External"/><Relationship Id="rId49" Type="http://schemas.openxmlformats.org/officeDocument/2006/relationships/hyperlink" Target="https://doi.org/10.1111/j.1467-9280.2006.01701.x" TargetMode="External"/><Relationship Id="rId5" Type="http://schemas.openxmlformats.org/officeDocument/2006/relationships/styles" Target="styles.xml"/><Relationship Id="rId6" Type="http://schemas.openxmlformats.org/officeDocument/2006/relationships/hyperlink" Target="https://doi.org/10.1080/02699931.2018.1554554" TargetMode="External"/><Relationship Id="rId7" Type="http://schemas.openxmlformats.org/officeDocument/2006/relationships/hyperlink" Target="https://doi.org/10.1080/13506285.2011.552895" TargetMode="External"/><Relationship Id="rId8" Type="http://schemas.openxmlformats.org/officeDocument/2006/relationships/hyperlink" Target="https://doi.org/10.1080/13506285.2011.552895" TargetMode="External"/><Relationship Id="rId31" Type="http://schemas.openxmlformats.org/officeDocument/2006/relationships/hyperlink" Target="https://doi.org/10.1016/j.neuropsychologia.2010.11.007" TargetMode="External"/><Relationship Id="rId30" Type="http://schemas.openxmlformats.org/officeDocument/2006/relationships/hyperlink" Target="https://doi.org/10.3758/s13423-020-01730-x" TargetMode="External"/><Relationship Id="rId33" Type="http://schemas.openxmlformats.org/officeDocument/2006/relationships/hyperlink" Target="https://doi.org/10.1080/02699931.2018.1519497" TargetMode="External"/><Relationship Id="rId32" Type="http://schemas.openxmlformats.org/officeDocument/2006/relationships/hyperlink" Target="https://doi.org/10.1016/j.neuropsychologia.2010.11.007" TargetMode="External"/><Relationship Id="rId35" Type="http://schemas.openxmlformats.org/officeDocument/2006/relationships/hyperlink" Target="https://doi.org/10.3389/fnhum.2013.00205" TargetMode="External"/><Relationship Id="rId34" Type="http://schemas.openxmlformats.org/officeDocument/2006/relationships/hyperlink" Target="https://doi.org/10.1080/02699931.2018.1519497" TargetMode="External"/><Relationship Id="rId37" Type="http://schemas.openxmlformats.org/officeDocument/2006/relationships/hyperlink" Target="https://doi.org/10.1007/s00426-015-0733-2" TargetMode="External"/><Relationship Id="rId36" Type="http://schemas.openxmlformats.org/officeDocument/2006/relationships/hyperlink" Target="https://doi.org/10.3389/fnhum.2013.00205" TargetMode="External"/><Relationship Id="rId39" Type="http://schemas.openxmlformats.org/officeDocument/2006/relationships/hyperlink" Target="https://doi.org/10.1037/0096-1523.29.6.1228" TargetMode="External"/><Relationship Id="rId38" Type="http://schemas.openxmlformats.org/officeDocument/2006/relationships/hyperlink" Target="https://doi.org/10.1007/s00426-015-0733-2" TargetMode="External"/><Relationship Id="rId20" Type="http://schemas.openxmlformats.org/officeDocument/2006/relationships/hyperlink" Target="https://doi.org/10.1037/0096-1523.35.1.108" TargetMode="External"/><Relationship Id="rId22" Type="http://schemas.openxmlformats.org/officeDocument/2006/relationships/hyperlink" Target="https://doi.org/10.3389/fpsyg.2019.01000" TargetMode="External"/><Relationship Id="rId21" Type="http://schemas.openxmlformats.org/officeDocument/2006/relationships/hyperlink" Target="https://doi.org/10.3389/fpsyg.2019.01000" TargetMode="External"/><Relationship Id="rId24" Type="http://schemas.openxmlformats.org/officeDocument/2006/relationships/hyperlink" Target="https://doi.org/10.3758/s13423-018-1464-3" TargetMode="External"/><Relationship Id="rId23" Type="http://schemas.openxmlformats.org/officeDocument/2006/relationships/hyperlink" Target="https://doi.org/10.3758/s13423-018-1464-3" TargetMode="External"/><Relationship Id="rId26" Type="http://schemas.openxmlformats.org/officeDocument/2006/relationships/hyperlink" Target="https://doi.org/10.1371/journal.pone.0280955" TargetMode="External"/><Relationship Id="rId25" Type="http://schemas.openxmlformats.org/officeDocument/2006/relationships/hyperlink" Target="https://doi.org/10.1371/journal.pone.0280955" TargetMode="External"/><Relationship Id="rId28" Type="http://schemas.openxmlformats.org/officeDocument/2006/relationships/hyperlink" Target="https://doi.org/10.1371/journal.pone.0114077" TargetMode="External"/><Relationship Id="rId27" Type="http://schemas.openxmlformats.org/officeDocument/2006/relationships/hyperlink" Target="https://doi.org/10.1371/journal.pone.0114077" TargetMode="External"/><Relationship Id="rId29" Type="http://schemas.openxmlformats.org/officeDocument/2006/relationships/hyperlink" Target="https://doi.org/10.3758/s13423-020-01730-x" TargetMode="External"/><Relationship Id="rId51" Type="http://schemas.openxmlformats.org/officeDocument/2006/relationships/hyperlink" Target="https://doi.org/10.3389/fpsyg.2018.00204" TargetMode="External"/><Relationship Id="rId50" Type="http://schemas.openxmlformats.org/officeDocument/2006/relationships/hyperlink" Target="https://doi.org/10.1016/S0028-3932(01)00178-X" TargetMode="External"/><Relationship Id="rId53" Type="http://schemas.openxmlformats.org/officeDocument/2006/relationships/hyperlink" Target="https://doi.org/10.1016/j.tics.2005.10.011" TargetMode="External"/><Relationship Id="rId52" Type="http://schemas.openxmlformats.org/officeDocument/2006/relationships/hyperlink" Target="https://doi.org/10.1016/j.cub.2006.02.013" TargetMode="External"/><Relationship Id="rId11" Type="http://schemas.openxmlformats.org/officeDocument/2006/relationships/hyperlink" Target="https://doi.org/10.1016/j.cognition.2006.07.012" TargetMode="External"/><Relationship Id="rId55" Type="http://schemas.openxmlformats.org/officeDocument/2006/relationships/hyperlink" Target="https://doi.org/10.1016/j.neuropsychologia.2013.02.023" TargetMode="External"/><Relationship Id="rId10" Type="http://schemas.openxmlformats.org/officeDocument/2006/relationships/hyperlink" Target="https://doi.org/10.1080/02724980443000124" TargetMode="External"/><Relationship Id="rId54" Type="http://schemas.openxmlformats.org/officeDocument/2006/relationships/hyperlink" Target="https://doi.org/10.3389/fpsyg.2015.01527" TargetMode="External"/><Relationship Id="rId13" Type="http://schemas.openxmlformats.org/officeDocument/2006/relationships/hyperlink" Target="https://doi.org/10.1037/t00741-000" TargetMode="External"/><Relationship Id="rId57" Type="http://schemas.openxmlformats.org/officeDocument/2006/relationships/hyperlink" Target="https://doi.org/10.1023/A:1005653411471" TargetMode="External"/><Relationship Id="rId12" Type="http://schemas.openxmlformats.org/officeDocument/2006/relationships/hyperlink" Target="https://doi.org/10.1016/j.cognition.2006.07.012" TargetMode="External"/><Relationship Id="rId56" Type="http://schemas.openxmlformats.org/officeDocument/2006/relationships/hyperlink" Target="https://doi.org/10.1111/j.1749-6632.2009.04516.x" TargetMode="External"/><Relationship Id="rId15" Type="http://schemas.openxmlformats.org/officeDocument/2006/relationships/hyperlink" Target="https://doi.org/10.1016/j.jad.2020.01.039" TargetMode="External"/><Relationship Id="rId14" Type="http://schemas.openxmlformats.org/officeDocument/2006/relationships/hyperlink" Target="https://doi.org/10.1037/t00741-000" TargetMode="External"/><Relationship Id="rId58" Type="http://schemas.openxmlformats.org/officeDocument/2006/relationships/hyperlink" Target="https://doi.org/10.1037/t06496-000" TargetMode="External"/><Relationship Id="rId17" Type="http://schemas.openxmlformats.org/officeDocument/2006/relationships/hyperlink" Target="https://doi.org/10.1016/j.janxdis.2016.04.004" TargetMode="External"/><Relationship Id="rId16" Type="http://schemas.openxmlformats.org/officeDocument/2006/relationships/hyperlink" Target="https://doi.org/10.1016/j.jad.2020.01.039" TargetMode="External"/><Relationship Id="rId19" Type="http://schemas.openxmlformats.org/officeDocument/2006/relationships/hyperlink" Target="https://doi.org/10.1037/0096-1523.35.1.108" TargetMode="External"/><Relationship Id="rId18" Type="http://schemas.openxmlformats.org/officeDocument/2006/relationships/hyperlink" Target="https://doi.org/10.1016/j.janxdis.2016.04.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