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C695" w14:textId="77777777" w:rsidR="00874764" w:rsidRDefault="00874764" w:rsidP="00874764">
      <w:pPr>
        <w:rPr>
          <w:b/>
          <w:bCs/>
        </w:rPr>
      </w:pPr>
      <w:r w:rsidRPr="00874764">
        <w:rPr>
          <w:b/>
          <w:bCs/>
        </w:rPr>
        <w:t>Intentional actions and the range of motion</w:t>
      </w:r>
    </w:p>
    <w:p w14:paraId="61B6ACBD" w14:textId="49483752" w:rsidR="00874764" w:rsidRDefault="00874764" w:rsidP="00874764"/>
    <w:p w14:paraId="7E9D70CC" w14:textId="77777777" w:rsidR="00AE56D7" w:rsidRPr="00AE56D7" w:rsidRDefault="00AE56D7" w:rsidP="00AE56D7">
      <w:r w:rsidRPr="00AE56D7">
        <w:t>Action is one of the key ingredients and lies at the heart of the sense of agency (SoA). Intentional, or self-generated, actions are typically defined as movements that arise from internal processes rather than being triggered by external stimuli. Within this view, voluntary action is characterized by autonomy, flexibility in integrating distinct causal factors, and control over outcomes (Chambon, Sidarus, &amp; Haggard, 2014).</w:t>
      </w:r>
    </w:p>
    <w:p w14:paraId="78FD4F7F" w14:textId="79026BB9" w:rsidR="00AE56D7" w:rsidRDefault="00AE56D7" w:rsidP="00AE56D7">
      <w:r w:rsidRPr="00AE56D7">
        <w:t xml:space="preserve">All theoretical accounts related to SoA make room for action in their interpretation, but action plays its most significant role in the comparator model, which frames SoA as the output of a system that generates goals and monitors actions against them. As explained earlier, the comparator model holds that agency arises when the predicted consequences of an action match its actual sensory outcome (Chambon et al., 2014). Within this framework, deviations in how a </w:t>
      </w:r>
      <w:r w:rsidR="00EE5471">
        <w:t>action</w:t>
      </w:r>
      <w:r w:rsidRPr="00AE56D7">
        <w:t xml:space="preserve"> itself is perceived — whether temporal, spatial, or anatomical in nature — are called predictive errors and can disrupt SoA.</w:t>
      </w:r>
      <w:r w:rsidR="00EE5471">
        <w:t xml:space="preserve"> </w:t>
      </w:r>
    </w:p>
    <w:p w14:paraId="6F5CECC0" w14:textId="77777777" w:rsidR="00AE56D7" w:rsidRDefault="00AE56D7" w:rsidP="00AE56D7"/>
    <w:p w14:paraId="4D88F2FB" w14:textId="77777777" w:rsidR="00F916E5" w:rsidRPr="00AE56D7" w:rsidRDefault="00F916E5" w:rsidP="00AE56D7"/>
    <w:p w14:paraId="28DFB20D" w14:textId="77777777" w:rsidR="00AE56D7" w:rsidRPr="00AE56D7" w:rsidRDefault="00AE56D7" w:rsidP="00AE56D7">
      <w:r w:rsidRPr="00AE56D7">
        <w:t>The role of movement itself within this predictive framework is illustrated further by work on different types of sensorimotor mismatch. As shown by Krugwasser, Harel, and Salomon (2019), using a virtual-hand paradigm, both temporal and spatial mismatches reduced SoA to a statistically equivalent degree, whereas an anatomical mismatch (e.g., the wrong finger moving) produced a categorically different, near all-or-nothing collapse in agency.</w:t>
      </w:r>
    </w:p>
    <w:p w14:paraId="28BE5A64" w14:textId="77777777" w:rsidR="00AE56D7" w:rsidRDefault="00AE56D7" w:rsidP="00AE56D7">
      <w:r w:rsidRPr="00AE56D7">
        <w:t xml:space="preserve">However, several studies suggest that SoA is more sensitive to outcome-related than to movement-related disruptions. </w:t>
      </w:r>
      <w:commentRangeStart w:id="0"/>
      <w:r w:rsidRPr="00AE56D7">
        <w:t>David, Skoruppa, Gulberti, Schultz, and Engel (2016) introduced delays either to a virtual hand's own movement or to the auditory or visual outcome of a tap, and found that self-agency reports dropped off faster with delays to the outcome than to the movement itself, regardless of sensory modality — suggesting SoA prioritizes authorship over action consequences rather than precise movement monitoring. This contrasts with Zama, Takahashi, and Shimada (2017), who manipulated trajectory and endpoint errors in a reaching task and found the opposite pattern: SoA correlated significantly with trajectory (movement) error but not with endpoint (outcome) error, once the error was explicitly noticed. The discrepancy between these findings appears to hinge on embodiment — David et al.'s virtual-hand setup may have masked small movement-related mismatches that a less embodied, cursor-based setup (as in Zama et al., or in Metcalfe, Eich, and Miele's, 2013, earlier proximal/distal work) would not. Despite this discrepancy, both studies underscore the central role that movement plays in shaping SoA.</w:t>
      </w:r>
      <w:commentRangeEnd w:id="0"/>
      <w:r w:rsidR="007C2DD0">
        <w:rPr>
          <w:rStyle w:val="CommentReference"/>
          <w:sz w:val="20"/>
          <w:szCs w:val="20"/>
        </w:rPr>
        <w:commentReference w:id="0"/>
      </w:r>
    </w:p>
    <w:p w14:paraId="49744EE8" w14:textId="77777777" w:rsidR="00AE56D7" w:rsidRPr="00AE56D7" w:rsidRDefault="00AE56D7" w:rsidP="00AE56D7"/>
    <w:p w14:paraId="299E749D" w14:textId="4C9CA9A9" w:rsidR="00AE56D7" w:rsidRDefault="00AE56D7" w:rsidP="00AE56D7">
      <w:commentRangeStart w:id="1"/>
      <w:r w:rsidRPr="00AE56D7">
        <w:t>Not all actions that elicit a sense of agency are strictly intentional, however. Moore, Wegner, and Haggard (2009) showed that even passive, involuntary movements can produce action-effect binding</w:t>
      </w:r>
      <w:r w:rsidR="00EE5471">
        <w:t xml:space="preserve"> </w:t>
      </w:r>
      <w:r w:rsidRPr="00AE56D7">
        <w:t xml:space="preserve">paired with an external cue consistent with the movement's effect, and that this cue-driven modulation was in fact stronger for involuntary than for voluntary movements. Critically, though, this effect still relied on the presence of actual bodily movement. </w:t>
      </w:r>
      <w:commentRangeEnd w:id="1"/>
      <w:r w:rsidR="0018247E" w:rsidRPr="00AE56D7">
        <w:rPr>
          <w:rStyle w:val="CommentReference"/>
          <w:sz w:val="20"/>
          <w:szCs w:val="20"/>
        </w:rPr>
        <w:commentReference w:id="1"/>
      </w:r>
      <w:commentRangeStart w:id="2"/>
      <w:r w:rsidRPr="00AE56D7">
        <w:t>When movement is removed altogether, the picture changes: Antusch, Custers, Marien, and Aarts (2021) delivered a purely tactile sensation to the fingertip, followed by a tone, with no motor component at all. Rather than the temporal binding that normally accompanies action-effect pairs, they found a robust temporal repulsion effect. Providing participants with full predictive knowledge of the sensation's identity and timing weakened this repulsion but never reversed it into binding — suggesting that intentional motor action holds a distinct status in producing SoA that sheer prediction cannot substitute for.</w:t>
      </w:r>
      <w:commentRangeEnd w:id="2"/>
      <w:r w:rsidR="00EE5471">
        <w:rPr>
          <w:rStyle w:val="CommentReference"/>
          <w:sz w:val="20"/>
          <w:szCs w:val="20"/>
        </w:rPr>
        <w:commentReference w:id="2"/>
      </w:r>
    </w:p>
    <w:p w14:paraId="68FB521E" w14:textId="77777777" w:rsidR="0018247E" w:rsidRDefault="0018247E" w:rsidP="00AE56D7"/>
    <w:p w14:paraId="2EAD8CEE" w14:textId="69DBC98C" w:rsidR="0018247E" w:rsidRPr="00AE56D7" w:rsidRDefault="0018247E" w:rsidP="00AE56D7">
      <w:r>
        <w:t xml:space="preserve">From one side – even inlovaltary moves are decoded from the brain as SoA triggering. However marely tactile sensations are not. </w:t>
      </w:r>
    </w:p>
    <w:p w14:paraId="3EEC6D0C" w14:textId="3F42ABF6" w:rsidR="00AE56D7" w:rsidRPr="00AE56D7" w:rsidRDefault="00AE56D7" w:rsidP="00AE56D7">
      <w:r w:rsidRPr="00AE56D7">
        <w:t xml:space="preserve">Together, these findings frame an open question: if movement itself — independent of outcome, embodiment, or predictive knowledge — is central to SoA, what specific properties of that movement matter? One candidate that has received comparatively little direct attention is the range of motion of the action itself, that is, whether the magnitude or amplitude of a movement modulates the strength of the resulting sense of agency. While the literature reviewed above establishes that a movement's presence, timing, and accuracy all shape sense of agency, its amplitude specifically remains </w:t>
      </w:r>
      <w:r>
        <w:t>up to my knowledge</w:t>
      </w:r>
      <w:r w:rsidRPr="00AE56D7">
        <w:t xml:space="preserve"> unexplored.</w:t>
      </w:r>
    </w:p>
    <w:p w14:paraId="12A1A535" w14:textId="724768C4" w:rsidR="00AE56D7" w:rsidRDefault="00AE56D7" w:rsidP="00874764"/>
    <w:p w14:paraId="1534B32D" w14:textId="77777777" w:rsidR="00AE56D7" w:rsidRPr="00874764" w:rsidRDefault="00AE56D7" w:rsidP="00874764"/>
    <w:p w14:paraId="2F58F880" w14:textId="77777777" w:rsidR="00874764" w:rsidRPr="00874764" w:rsidRDefault="00874764" w:rsidP="00874764">
      <w:pPr>
        <w:rPr>
          <w:b/>
          <w:bCs/>
        </w:rPr>
      </w:pPr>
      <w:r w:rsidRPr="00874764">
        <w:rPr>
          <w:b/>
          <w:bCs/>
        </w:rPr>
        <w:t>References</w:t>
      </w:r>
    </w:p>
    <w:p w14:paraId="0342024C" w14:textId="77777777" w:rsidR="00874764" w:rsidRPr="00874764" w:rsidRDefault="00874764" w:rsidP="00874764">
      <w:r w:rsidRPr="00874764">
        <w:lastRenderedPageBreak/>
        <w:t xml:space="preserve">Antusch, S., Custers, R., Marien, H., &amp; Aarts, H. (2021). Studying the sense of agency in the absence of motor movement: An investigation into temporal binding of tactile sensations and auditory effects. </w:t>
      </w:r>
      <w:r w:rsidRPr="00874764">
        <w:rPr>
          <w:i/>
          <w:iCs/>
        </w:rPr>
        <w:t>Experimental Brain Research, 239</w:t>
      </w:r>
      <w:r w:rsidRPr="00874764">
        <w:t>, 1795–1806. https://doi.org/10.1007/s00221-021-06087-8</w:t>
      </w:r>
    </w:p>
    <w:p w14:paraId="165ECF24" w14:textId="77777777" w:rsidR="00874764" w:rsidRPr="00874764" w:rsidRDefault="00874764" w:rsidP="00874764">
      <w:r w:rsidRPr="00874764">
        <w:t xml:space="preserve">Chambon, V., Sidarus, N., &amp; Haggard, P. (2014). From action intentions to action effects: How does the sense of agency come about? </w:t>
      </w:r>
      <w:r w:rsidRPr="00874764">
        <w:rPr>
          <w:i/>
          <w:iCs/>
        </w:rPr>
        <w:t>Frontiers in Human Neuroscience, 8</w:t>
      </w:r>
      <w:r w:rsidRPr="00874764">
        <w:t>, 320. https://doi.org/10.3389/fnhum.2014.00320</w:t>
      </w:r>
    </w:p>
    <w:p w14:paraId="4E3D4E07" w14:textId="77777777" w:rsidR="00874764" w:rsidRPr="00874764" w:rsidRDefault="00874764" w:rsidP="00874764">
      <w:r w:rsidRPr="00874764">
        <w:t xml:space="preserve">David, N., Skoruppa, S., Gulberti, A., Schultz, J., &amp; Engel, A. K. (2016). The sense of agency is more sensitive to manipulations of outcome than movement-related feedback irrespective of sensory modality. </w:t>
      </w:r>
      <w:r w:rsidRPr="00874764">
        <w:rPr>
          <w:i/>
          <w:iCs/>
        </w:rPr>
        <w:t>PLoS ONE, 11</w:t>
      </w:r>
      <w:r w:rsidRPr="00874764">
        <w:t>(8), e0161156. https://doi.org/10.1371/journal.pone.0161156</w:t>
      </w:r>
    </w:p>
    <w:p w14:paraId="20E74AFF" w14:textId="77777777" w:rsidR="00874764" w:rsidRPr="00874764" w:rsidRDefault="00874764" w:rsidP="00874764">
      <w:r w:rsidRPr="00874764">
        <w:t xml:space="preserve">Krugwasser, A. R., Harel, E. V., &amp; Salomon, R. (2019). The boundaries of the self: The sense of agency across different sensorimotor aspects. </w:t>
      </w:r>
      <w:r w:rsidRPr="00874764">
        <w:rPr>
          <w:i/>
          <w:iCs/>
        </w:rPr>
        <w:t>Journal of Vision, 19</w:t>
      </w:r>
      <w:r w:rsidRPr="00874764">
        <w:t>(4), 14. https://doi.org/10.1167/19.4.14</w:t>
      </w:r>
    </w:p>
    <w:p w14:paraId="6434D40E" w14:textId="77777777" w:rsidR="00874764" w:rsidRPr="00874764" w:rsidRDefault="00874764" w:rsidP="00874764">
      <w:r w:rsidRPr="00874764">
        <w:t xml:space="preserve">Metcalfe, J., Eich, T. S., &amp; Miele, D. B. (2013). Metacognition of agency: Proximal action and distal outcome. </w:t>
      </w:r>
      <w:r w:rsidRPr="00874764">
        <w:rPr>
          <w:i/>
          <w:iCs/>
        </w:rPr>
        <w:t>Experimental Brain Research, 229</w:t>
      </w:r>
      <w:r w:rsidRPr="00874764">
        <w:t>(3), 485–496. https://doi.org/10.1007/s00221-012-3371-6</w:t>
      </w:r>
    </w:p>
    <w:p w14:paraId="59B7F87F" w14:textId="77777777" w:rsidR="00874764" w:rsidRPr="00874764" w:rsidRDefault="00874764" w:rsidP="00874764">
      <w:r w:rsidRPr="00874764">
        <w:t xml:space="preserve">Moore, J. W., Wegner, D. M., &amp; Haggard, P. (2009). Modulating the sense of agency with external cues. </w:t>
      </w:r>
      <w:r w:rsidRPr="00874764">
        <w:rPr>
          <w:i/>
          <w:iCs/>
        </w:rPr>
        <w:t>Consciousness and Cognition, 18</w:t>
      </w:r>
      <w:r w:rsidRPr="00874764">
        <w:t>(4), 1056–1064. https://doi.org/10.1016/j.concog.2009.05.004</w:t>
      </w:r>
    </w:p>
    <w:p w14:paraId="01C5110F" w14:textId="77777777" w:rsidR="00874764" w:rsidRPr="00874764" w:rsidRDefault="00874764" w:rsidP="00874764">
      <w:r w:rsidRPr="00874764">
        <w:t xml:space="preserve">Zama, T., Takahashi, Y., &amp; Shimada, S. (2017). The effects of trajectory and endpoint errors in a reaching movement on the sense of agency. </w:t>
      </w:r>
      <w:r w:rsidRPr="00874764">
        <w:rPr>
          <w:i/>
          <w:iCs/>
        </w:rPr>
        <w:t>Psychology, 8</w:t>
      </w:r>
      <w:r w:rsidRPr="00874764">
        <w:t>, 2321–2332. https://doi.org/10.4236/psych.2017.814146</w:t>
      </w:r>
    </w:p>
    <w:p w14:paraId="002C15AA" w14:textId="77777777" w:rsidR="00874764" w:rsidRPr="00874764" w:rsidRDefault="00874764" w:rsidP="00874764">
      <w:r w:rsidRPr="00874764">
        <w:rPr>
          <w:i/>
          <w:iCs/>
        </w:rPr>
        <w:t>Note: I haven't independently verified the exact page range/DOI for Metcalfe, Eich, &amp; Miele (2013) via full-text this session — worth double-checking against the original before submission, since it wasn't one of the PDFs uploaded this round.</w:t>
      </w:r>
    </w:p>
    <w:p w14:paraId="2C96A199" w14:textId="77777777" w:rsidR="004E4C20" w:rsidRDefault="004E4C20"/>
    <w:sectPr w:rsidR="004E4C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9-24T16:36:00Z" w:initials="KZ">
    <w:p w14:paraId="13005E66" w14:textId="2FB2CCF8" w:rsidR="007C2DD0" w:rsidRDefault="007C2DD0">
      <w:pPr>
        <w:pStyle w:val="CommentText"/>
      </w:pPr>
      <w:r>
        <w:rPr>
          <w:rStyle w:val="CommentReference"/>
        </w:rPr>
        <w:annotationRef/>
      </w:r>
      <w:r>
        <w:t xml:space="preserve">Daniel – VR hand – more embodied &gt; </w:t>
      </w:r>
      <w:r w:rsidRPr="007C2DD0">
        <w:t xml:space="preserve">When operating a cursor or mouse, the brain does not have automatic, cross-modal bodily adjustments to smooth out visual errors. It must explicitly match intentions to manual movement, making it highly sensitive to </w:t>
      </w:r>
      <w:r w:rsidRPr="007C2DD0">
        <w:rPr>
          <w:i/>
          <w:iCs/>
        </w:rPr>
        <w:t>proximal track errors</w:t>
      </w:r>
      <w:r w:rsidRPr="007C2DD0">
        <w:t xml:space="preserve">. In contrast, when a setup utilizes an </w:t>
      </w:r>
      <w:r w:rsidRPr="007C2DD0">
        <w:rPr>
          <w:i/>
          <w:iCs/>
        </w:rPr>
        <w:t>embodied virtual hand</w:t>
      </w:r>
      <w:r w:rsidRPr="007C2DD0">
        <w:t xml:space="preserve"> (as in David et al., 2016), the brain adopts the hand as its own body part, prioritizes the overall goal, and effectively filters out or forgives minor trajectory mismatches.</w:t>
      </w:r>
      <w:r>
        <w:t xml:space="preserve"> &gt; the embodiment has a part and the brain compensated for this part in mouse movement by being more sensitive to expernal cues &gt; being more susceptive to errors &gt; SoA is more fagile in such less embodied actions. </w:t>
      </w:r>
    </w:p>
  </w:comment>
  <w:comment w:id="1" w:author="Kaloyan Zdravkov" w:date="2026-09-24T16:21:00Z" w:initials="KZ">
    <w:p w14:paraId="3BA26A01" w14:textId="77777777" w:rsidR="0018247E" w:rsidRPr="0018247E" w:rsidRDefault="0018247E" w:rsidP="0018247E">
      <w:pPr>
        <w:pStyle w:val="CommentText"/>
      </w:pPr>
      <w:r>
        <w:rPr>
          <w:rStyle w:val="CommentReference"/>
        </w:rPr>
        <w:annotationRef/>
      </w:r>
      <w:r w:rsidRPr="0018247E">
        <w:t xml:space="preserve">Moore, Wegner, and Haggard (2009) explored how our brain decides whether we are the ones causing things to happen—a concept known as the </w:t>
      </w:r>
      <w:r w:rsidRPr="0018247E">
        <w:rPr>
          <w:b/>
          <w:bCs/>
        </w:rPr>
        <w:t>sense of agency</w:t>
      </w:r>
      <w:r w:rsidRPr="0018247E">
        <w:t xml:space="preserve">. They used </w:t>
      </w:r>
      <w:r w:rsidRPr="0018247E">
        <w:rPr>
          <w:b/>
          <w:bCs/>
        </w:rPr>
        <w:t>intentional binding</w:t>
      </w:r>
      <w:r w:rsidRPr="0018247E">
        <w:t xml:space="preserve">, which is a way to measure agency by looking at how we perceive time. Normally, when you do something on purpose, time feels compressed; the gap between your action and its result seems shorter. [1, 2, 3, 4] </w:t>
      </w:r>
    </w:p>
    <w:p w14:paraId="60C98B7E" w14:textId="77777777" w:rsidR="0018247E" w:rsidRPr="0018247E" w:rsidRDefault="0018247E" w:rsidP="0018247E">
      <w:pPr>
        <w:pStyle w:val="CommentText"/>
      </w:pPr>
      <w:r w:rsidRPr="0018247E">
        <w:t>Here is a breakdown of what their study found and why it matters:</w:t>
      </w:r>
    </w:p>
    <w:p w14:paraId="2EF94687" w14:textId="77777777" w:rsidR="0018247E" w:rsidRPr="0018247E" w:rsidRDefault="0018247E" w:rsidP="0018247E">
      <w:pPr>
        <w:pStyle w:val="CommentText"/>
        <w:rPr>
          <w:b/>
          <w:bCs/>
        </w:rPr>
      </w:pPr>
      <w:r w:rsidRPr="0018247E">
        <w:rPr>
          <w:b/>
          <w:bCs/>
        </w:rPr>
        <w:t>What the Study Did</w:t>
      </w:r>
    </w:p>
    <w:p w14:paraId="2C137625" w14:textId="77777777" w:rsidR="0018247E" w:rsidRPr="0018247E" w:rsidRDefault="0018247E" w:rsidP="0018247E">
      <w:pPr>
        <w:pStyle w:val="CommentText"/>
        <w:numPr>
          <w:ilvl w:val="0"/>
          <w:numId w:val="1"/>
        </w:numPr>
      </w:pPr>
      <w:r w:rsidRPr="0018247E">
        <w:rPr>
          <w:b/>
          <w:bCs/>
        </w:rPr>
        <w:t>Voluntary vs. Involuntary:</w:t>
      </w:r>
      <w:r w:rsidRPr="0018247E">
        <w:t xml:space="preserve"> They compared self-generated (voluntary) movements against passive, involuntary movements (where a device moved the participant's hand). [1] </w:t>
      </w:r>
    </w:p>
    <w:p w14:paraId="01A83FC3" w14:textId="77777777" w:rsidR="0018247E" w:rsidRPr="0018247E" w:rsidRDefault="0018247E" w:rsidP="0018247E">
      <w:pPr>
        <w:pStyle w:val="CommentText"/>
        <w:numPr>
          <w:ilvl w:val="0"/>
          <w:numId w:val="1"/>
        </w:numPr>
      </w:pPr>
      <w:r w:rsidRPr="0018247E">
        <w:rPr>
          <w:b/>
          <w:bCs/>
        </w:rPr>
        <w:t>External Cues (Priming):</w:t>
      </w:r>
      <w:r w:rsidRPr="0018247E">
        <w:t xml:space="preserve"> Before the movement, participants were exposed to a visual or auditory prime that matched the expected outcome of the movement. [1, 3] </w:t>
      </w:r>
    </w:p>
    <w:p w14:paraId="2EA2D8E8" w14:textId="77777777" w:rsidR="0018247E" w:rsidRPr="0018247E" w:rsidRDefault="0018247E" w:rsidP="0018247E">
      <w:pPr>
        <w:pStyle w:val="CommentText"/>
        <w:numPr>
          <w:ilvl w:val="0"/>
          <w:numId w:val="1"/>
        </w:numPr>
      </w:pPr>
      <w:r w:rsidRPr="0018247E">
        <w:rPr>
          <w:b/>
          <w:bCs/>
        </w:rPr>
        <w:t>Time Estimation:</w:t>
      </w:r>
      <w:r w:rsidRPr="0018247E">
        <w:t xml:space="preserve"> Participants estimated the time interval between the movement and the sensory outcome. [3] </w:t>
      </w:r>
    </w:p>
    <w:p w14:paraId="3868178C" w14:textId="77777777" w:rsidR="0018247E" w:rsidRPr="0018247E" w:rsidRDefault="0018247E" w:rsidP="0018247E">
      <w:pPr>
        <w:pStyle w:val="CommentText"/>
        <w:rPr>
          <w:b/>
          <w:bCs/>
        </w:rPr>
      </w:pPr>
      <w:r w:rsidRPr="0018247E">
        <w:rPr>
          <w:b/>
          <w:bCs/>
        </w:rPr>
        <w:t>Key Findings</w:t>
      </w:r>
    </w:p>
    <w:p w14:paraId="0C5C1DFB" w14:textId="77777777" w:rsidR="0018247E" w:rsidRPr="0018247E" w:rsidRDefault="0018247E" w:rsidP="0018247E">
      <w:pPr>
        <w:pStyle w:val="CommentText"/>
        <w:numPr>
          <w:ilvl w:val="0"/>
          <w:numId w:val="2"/>
        </w:numPr>
      </w:pPr>
      <w:r w:rsidRPr="0018247E">
        <w:rPr>
          <w:b/>
          <w:bCs/>
        </w:rPr>
        <w:t>Cues Work on Involuntary Movements:</w:t>
      </w:r>
      <w:r w:rsidRPr="0018247E">
        <w:t xml:space="preserve"> Even when people did not move on their own, a matching external cue still created a binding effect (making the time feel shorter). [3, 5] </w:t>
      </w:r>
    </w:p>
    <w:p w14:paraId="44F6E652" w14:textId="77777777" w:rsidR="0018247E" w:rsidRPr="0018247E" w:rsidRDefault="0018247E" w:rsidP="0018247E">
      <w:pPr>
        <w:pStyle w:val="CommentText"/>
        <w:numPr>
          <w:ilvl w:val="0"/>
          <w:numId w:val="2"/>
        </w:numPr>
      </w:pPr>
      <w:r w:rsidRPr="0018247E">
        <w:rPr>
          <w:b/>
          <w:bCs/>
        </w:rPr>
        <w:t>Stronger Effect on Involuntary Actions:</w:t>
      </w:r>
      <w:r w:rsidRPr="0018247E">
        <w:t xml:space="preserve"> Surprisingly, this cue-driven time compression was </w:t>
      </w:r>
      <w:r w:rsidRPr="0018247E">
        <w:rPr>
          <w:b/>
          <w:bCs/>
        </w:rPr>
        <w:t>stronger</w:t>
      </w:r>
      <w:r w:rsidRPr="0018247E">
        <w:t xml:space="preserve"> for passive, involuntary movements than for voluntary ones. [3, 5] </w:t>
      </w:r>
    </w:p>
    <w:p w14:paraId="4EEEC436" w14:textId="77777777" w:rsidR="0018247E" w:rsidRPr="0018247E" w:rsidRDefault="0018247E" w:rsidP="0018247E">
      <w:pPr>
        <w:pStyle w:val="CommentText"/>
        <w:rPr>
          <w:b/>
          <w:bCs/>
        </w:rPr>
      </w:pPr>
      <w:r w:rsidRPr="0018247E">
        <w:rPr>
          <w:b/>
          <w:bCs/>
        </w:rPr>
        <w:t>Why This Happens (Cue Integration)</w:t>
      </w:r>
    </w:p>
    <w:p w14:paraId="38EA1F17" w14:textId="77777777" w:rsidR="0018247E" w:rsidRPr="0018247E" w:rsidRDefault="0018247E" w:rsidP="0018247E">
      <w:pPr>
        <w:pStyle w:val="CommentText"/>
        <w:numPr>
          <w:ilvl w:val="0"/>
          <w:numId w:val="3"/>
        </w:numPr>
      </w:pPr>
      <w:r w:rsidRPr="0018247E">
        <w:rPr>
          <w:b/>
          <w:bCs/>
        </w:rPr>
        <w:t>Internal Signals:</w:t>
      </w:r>
      <w:r w:rsidRPr="0018247E">
        <w:t xml:space="preserve"> Voluntary movements have strong internal motor signals (called </w:t>
      </w:r>
      <w:r w:rsidRPr="0018247E">
        <w:rPr>
          <w:i/>
          <w:iCs/>
        </w:rPr>
        <w:t>efferent signals</w:t>
      </w:r>
      <w:r w:rsidRPr="0018247E">
        <w:t xml:space="preserve">). These internal cues are reliable and resist being pushed around by outside hints. [5] </w:t>
      </w:r>
    </w:p>
    <w:p w14:paraId="08B7762C" w14:textId="77777777" w:rsidR="0018247E" w:rsidRPr="0018247E" w:rsidRDefault="0018247E" w:rsidP="0018247E">
      <w:pPr>
        <w:pStyle w:val="CommentText"/>
        <w:numPr>
          <w:ilvl w:val="0"/>
          <w:numId w:val="3"/>
        </w:numPr>
      </w:pPr>
      <w:r w:rsidRPr="0018247E">
        <w:rPr>
          <w:b/>
          <w:bCs/>
        </w:rPr>
        <w:t>Relying on Outside Clues:</w:t>
      </w:r>
      <w:r w:rsidRPr="0018247E">
        <w:t xml:space="preserve"> Involuntary movements lack these internal motor signals. Because there is no internal "I did this" signal, the brain leans heavily on whatever external clues are available. [6] </w:t>
      </w:r>
    </w:p>
    <w:p w14:paraId="013D2E09" w14:textId="77777777" w:rsidR="0018247E" w:rsidRPr="0018247E" w:rsidRDefault="0018247E" w:rsidP="0018247E">
      <w:pPr>
        <w:pStyle w:val="CommentText"/>
        <w:numPr>
          <w:ilvl w:val="0"/>
          <w:numId w:val="3"/>
        </w:numPr>
      </w:pPr>
      <w:r w:rsidRPr="0018247E">
        <w:rPr>
          <w:b/>
          <w:bCs/>
        </w:rPr>
        <w:t>The Result:</w:t>
      </w:r>
      <w:r w:rsidRPr="0018247E">
        <w:t xml:space="preserve"> When an external cue matches an involuntary outcome, the brain readily adopts it as the cause, sometimes making the external influence feel even more potent than internal agency. [6] </w:t>
      </w:r>
    </w:p>
    <w:p w14:paraId="601155C9" w14:textId="2E481F53" w:rsidR="0018247E" w:rsidRDefault="0018247E">
      <w:pPr>
        <w:pStyle w:val="CommentText"/>
      </w:pPr>
      <w:r w:rsidRPr="0018247E">
        <w:t xml:space="preserve">Would you like to explore </w:t>
      </w:r>
      <w:r w:rsidRPr="0018247E">
        <w:rPr>
          <w:b/>
          <w:bCs/>
        </w:rPr>
        <w:t>how this Bayesian cue-integration framework applies to legal responsibility</w:t>
      </w:r>
      <w:r w:rsidRPr="0018247E">
        <w:t xml:space="preserve"> or look into </w:t>
      </w:r>
      <w:r w:rsidRPr="0018247E">
        <w:rPr>
          <w:b/>
          <w:bCs/>
        </w:rPr>
        <w:t>more recent debates on intentional binding as a valid measure of agency</w:t>
      </w:r>
      <w:r w:rsidRPr="0018247E">
        <w:t>?</w:t>
      </w:r>
    </w:p>
  </w:comment>
  <w:comment w:id="2" w:author="Kaloyan Zdravkov" w:date="2026-09-24T16:14:00Z" w:initials="KZ">
    <w:p w14:paraId="6CEB8261" w14:textId="76C9D786" w:rsidR="00EE5471" w:rsidRDefault="00EE5471">
      <w:pPr>
        <w:pStyle w:val="CommentText"/>
      </w:pPr>
      <w:r>
        <w:rPr>
          <w:rStyle w:val="CommentReference"/>
        </w:rPr>
        <w:annotationRef/>
      </w:r>
      <w:r>
        <w:t xml:space="preserve">Intentional movement is important – intentionality is important and it’s not just the tactive feeling of the movement. This is just the tactile that provides knowledge about the temporal presentation of he tarhet, but intentional binding does not emerges.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05E66" w15:done="0"/>
  <w15:commentEx w15:paraId="601155C9" w15:done="0"/>
  <w15:commentEx w15:paraId="6CEB82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808D46" w16cex:dateUtc="2026-09-24T13:36:00Z"/>
  <w16cex:commentExtensible w16cex:durableId="178A5CC2" w16cex:dateUtc="2026-09-24T13:21:00Z"/>
  <w16cex:commentExtensible w16cex:durableId="6BD27FDF" w16cex:dateUtc="2026-09-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05E66" w16cid:durableId="25808D46"/>
  <w16cid:commentId w16cid:paraId="601155C9" w16cid:durableId="178A5CC2"/>
  <w16cid:commentId w16cid:paraId="6CEB8261" w16cid:durableId="6BD27F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nux Libertine">
    <w:altName w:val="Times New Roman"/>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362"/>
    <w:multiLevelType w:val="multilevel"/>
    <w:tmpl w:val="EC3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050C9"/>
    <w:multiLevelType w:val="multilevel"/>
    <w:tmpl w:val="E3A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C46FA"/>
    <w:multiLevelType w:val="multilevel"/>
    <w:tmpl w:val="60E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72418">
    <w:abstractNumId w:val="0"/>
  </w:num>
  <w:num w:numId="2" w16cid:durableId="975912022">
    <w:abstractNumId w:val="1"/>
  </w:num>
  <w:num w:numId="3" w16cid:durableId="129946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55"/>
    <w:rsid w:val="000032D8"/>
    <w:rsid w:val="0018247E"/>
    <w:rsid w:val="00197E0C"/>
    <w:rsid w:val="001E70C3"/>
    <w:rsid w:val="002D6A1F"/>
    <w:rsid w:val="002E24CB"/>
    <w:rsid w:val="002E5061"/>
    <w:rsid w:val="003D4CF9"/>
    <w:rsid w:val="003F7C50"/>
    <w:rsid w:val="004E4C20"/>
    <w:rsid w:val="005C1FFE"/>
    <w:rsid w:val="006A124A"/>
    <w:rsid w:val="007A0FD9"/>
    <w:rsid w:val="007C2DD0"/>
    <w:rsid w:val="00842F12"/>
    <w:rsid w:val="0087214C"/>
    <w:rsid w:val="00874764"/>
    <w:rsid w:val="00942284"/>
    <w:rsid w:val="00AE56D7"/>
    <w:rsid w:val="00B90957"/>
    <w:rsid w:val="00C11855"/>
    <w:rsid w:val="00E3412C"/>
    <w:rsid w:val="00E575E7"/>
    <w:rsid w:val="00EB05BE"/>
    <w:rsid w:val="00EE5471"/>
    <w:rsid w:val="00F9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285F"/>
  <w15:chartTrackingRefBased/>
  <w15:docId w15:val="{93F77017-2EF8-46CD-B709-33B40B8F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C11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85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8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118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1185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185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185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185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C11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85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85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1185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118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18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18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18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18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85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8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18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1855"/>
    <w:rPr>
      <w:i/>
      <w:iCs/>
      <w:color w:val="404040" w:themeColor="text1" w:themeTint="BF"/>
    </w:rPr>
  </w:style>
  <w:style w:type="paragraph" w:styleId="ListParagraph">
    <w:name w:val="List Paragraph"/>
    <w:basedOn w:val="Normal"/>
    <w:uiPriority w:val="34"/>
    <w:qFormat/>
    <w:rsid w:val="00C11855"/>
    <w:pPr>
      <w:ind w:left="720"/>
      <w:contextualSpacing/>
    </w:pPr>
  </w:style>
  <w:style w:type="character" w:styleId="IntenseEmphasis">
    <w:name w:val="Intense Emphasis"/>
    <w:basedOn w:val="DefaultParagraphFont"/>
    <w:uiPriority w:val="21"/>
    <w:qFormat/>
    <w:rsid w:val="00C11855"/>
    <w:rPr>
      <w:i/>
      <w:iCs/>
      <w:color w:val="2F5496" w:themeColor="accent1" w:themeShade="BF"/>
    </w:rPr>
  </w:style>
  <w:style w:type="paragraph" w:styleId="IntenseQuote">
    <w:name w:val="Intense Quote"/>
    <w:basedOn w:val="Normal"/>
    <w:next w:val="Normal"/>
    <w:link w:val="IntenseQuoteChar"/>
    <w:uiPriority w:val="30"/>
    <w:qFormat/>
    <w:rsid w:val="00C11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855"/>
    <w:rPr>
      <w:i/>
      <w:iCs/>
      <w:color w:val="2F5496" w:themeColor="accent1" w:themeShade="BF"/>
    </w:rPr>
  </w:style>
  <w:style w:type="character" w:styleId="IntenseReference">
    <w:name w:val="Intense Reference"/>
    <w:basedOn w:val="DefaultParagraphFont"/>
    <w:uiPriority w:val="32"/>
    <w:qFormat/>
    <w:rsid w:val="00C11855"/>
    <w:rPr>
      <w:b/>
      <w:bCs/>
      <w:smallCaps/>
      <w:color w:val="2F5496" w:themeColor="accent1" w:themeShade="BF"/>
      <w:spacing w:val="5"/>
    </w:rPr>
  </w:style>
  <w:style w:type="paragraph" w:styleId="NormalWeb">
    <w:name w:val="Normal (Web)"/>
    <w:basedOn w:val="Normal"/>
    <w:uiPriority w:val="99"/>
    <w:semiHidden/>
    <w:unhideWhenUsed/>
    <w:rsid w:val="00AE56D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E5471"/>
    <w:rPr>
      <w:sz w:val="16"/>
      <w:szCs w:val="16"/>
    </w:rPr>
  </w:style>
  <w:style w:type="paragraph" w:styleId="CommentText">
    <w:name w:val="annotation text"/>
    <w:basedOn w:val="Normal"/>
    <w:link w:val="CommentTextChar"/>
    <w:uiPriority w:val="99"/>
    <w:semiHidden/>
    <w:unhideWhenUsed/>
    <w:rsid w:val="00EE5471"/>
  </w:style>
  <w:style w:type="character" w:customStyle="1" w:styleId="CommentTextChar">
    <w:name w:val="Comment Text Char"/>
    <w:basedOn w:val="DefaultParagraphFont"/>
    <w:link w:val="CommentText"/>
    <w:uiPriority w:val="99"/>
    <w:semiHidden/>
    <w:rsid w:val="00EE5471"/>
  </w:style>
  <w:style w:type="paragraph" w:styleId="CommentSubject">
    <w:name w:val="annotation subject"/>
    <w:basedOn w:val="CommentText"/>
    <w:next w:val="CommentText"/>
    <w:link w:val="CommentSubjectChar"/>
    <w:uiPriority w:val="99"/>
    <w:semiHidden/>
    <w:unhideWhenUsed/>
    <w:rsid w:val="00EE5471"/>
    <w:rPr>
      <w:b/>
      <w:bCs/>
    </w:rPr>
  </w:style>
  <w:style w:type="character" w:customStyle="1" w:styleId="CommentSubjectChar">
    <w:name w:val="Comment Subject Char"/>
    <w:basedOn w:val="CommentTextChar"/>
    <w:link w:val="CommentSubject"/>
    <w:uiPriority w:val="99"/>
    <w:semiHidden/>
    <w:rsid w:val="00EE5471"/>
    <w:rPr>
      <w:b/>
      <w:bCs/>
    </w:rPr>
  </w:style>
  <w:style w:type="character" w:styleId="Hyperlink">
    <w:name w:val="Hyperlink"/>
    <w:basedOn w:val="DefaultParagraphFont"/>
    <w:uiPriority w:val="99"/>
    <w:unhideWhenUsed/>
    <w:rsid w:val="0018247E"/>
    <w:rPr>
      <w:color w:val="0563C1" w:themeColor="hyperlink"/>
      <w:u w:val="single"/>
    </w:rPr>
  </w:style>
  <w:style w:type="character" w:styleId="UnresolvedMention">
    <w:name w:val="Unresolved Mention"/>
    <w:basedOn w:val="DefaultParagraphFont"/>
    <w:uiPriority w:val="99"/>
    <w:semiHidden/>
    <w:unhideWhenUsed/>
    <w:rsid w:val="00182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5</cp:revision>
  <dcterms:created xsi:type="dcterms:W3CDTF">2026-09-22T14:34:00Z</dcterms:created>
  <dcterms:modified xsi:type="dcterms:W3CDTF">2026-09-30T16:29:00Z</dcterms:modified>
</cp:coreProperties>
</file>