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3D68" w14:textId="49BE97BA" w:rsidR="003C03B3" w:rsidRPr="003C03B3" w:rsidRDefault="003C03B3" w:rsidP="005C54AF">
      <w:pPr>
        <w:pStyle w:val="Heading2"/>
      </w:pPr>
      <w:r w:rsidRPr="003C03B3">
        <w:t>Literature Review</w:t>
      </w:r>
    </w:p>
    <w:p w14:paraId="415AF867" w14:textId="77777777" w:rsidR="003C03B3" w:rsidRDefault="003C03B3" w:rsidP="005C54AF">
      <w:pPr>
        <w:pStyle w:val="Heading1"/>
        <w:jc w:val="both"/>
        <w:rPr>
          <w:sz w:val="20"/>
        </w:rPr>
      </w:pPr>
      <w:r w:rsidRPr="003C03B3">
        <w:rPr>
          <w:sz w:val="20"/>
        </w:rPr>
        <w:t>Gaze Cueing and Attentional Orienting</w:t>
      </w:r>
    </w:p>
    <w:p w14:paraId="78A0C279" w14:textId="069C9DB6" w:rsidR="003C03B3" w:rsidRPr="003C03B3" w:rsidRDefault="003C03B3" w:rsidP="005C54AF">
      <w:pPr>
        <w:pStyle w:val="Heading1"/>
        <w:ind w:firstLine="142"/>
        <w:jc w:val="both"/>
        <w:rPr>
          <w:sz w:val="20"/>
        </w:rPr>
      </w:pPr>
      <w:r w:rsidRPr="003C03B3">
        <w:rPr>
          <w:b w:val="0"/>
          <w:sz w:val="20"/>
        </w:rPr>
        <w:t>Our environment is crowded with objects that often require further scrutiny, and attending to goal-relevant features of the environment is essential for effective functioning. However, attention is a finite resource and must be selectively deployed (Lavie, 2005). Consequently, people use various directional cues to focus their attention on important events and objects in the world. As highly social creatures, humans rely strongly on social cues like gaze direction, head orientation, or pointing gestures.</w:t>
      </w:r>
    </w:p>
    <w:p w14:paraId="4A51A2FA" w14:textId="6A8ABA1A" w:rsidR="003C03B3" w:rsidRPr="003C03B3" w:rsidRDefault="003C03B3" w:rsidP="005C54AF">
      <w:pPr>
        <w:pStyle w:val="Heading1"/>
        <w:ind w:firstLine="142"/>
        <w:jc w:val="both"/>
        <w:rPr>
          <w:b w:val="0"/>
          <w:sz w:val="20"/>
        </w:rPr>
      </w:pPr>
      <w:r w:rsidRPr="003C03B3">
        <w:rPr>
          <w:b w:val="0"/>
          <w:sz w:val="20"/>
        </w:rPr>
        <w:t>Reported at the end of the 20th century, Gaze cueing (GC) refers to the human tendency to shift attention in the direction of another person’s gaze (Driver et al., 1999; Friesen &amp; Kingstone, 1998; Hietanen, 1999; Langton &amp; Bruce, 1999). It serves as a fundamental social cue, allowing individuals to infer the attentional focus of others and thereby engage in joint attention—a core component of human social interaction (Baron-Cohen, 1995; Baron-Cohen et al., 1985; Tomasello et al., 2005). As such, GC plays a central role in non-verbal and embodied communication, and is considered one of the foundational mechanisms supporting the development of theory of mind and the capacity to navigate complex social environments.</w:t>
      </w:r>
      <w:r w:rsidR="00E31D5D">
        <w:rPr>
          <w:b w:val="0"/>
          <w:sz w:val="20"/>
        </w:rPr>
        <w:t xml:space="preserve"> </w:t>
      </w:r>
      <w:r w:rsidRPr="003C03B3">
        <w:rPr>
          <w:b w:val="0"/>
          <w:sz w:val="20"/>
        </w:rPr>
        <w:t>(Baron-Cohen, 1995; Baron-Cohen et al., 1985; Tomasello et al., 2005)</w:t>
      </w:r>
    </w:p>
    <w:p w14:paraId="38E636F3" w14:textId="77777777" w:rsidR="003C03B3" w:rsidRPr="003C03B3" w:rsidRDefault="003C03B3" w:rsidP="005C54AF">
      <w:pPr>
        <w:pStyle w:val="Heading1"/>
        <w:ind w:firstLine="142"/>
        <w:jc w:val="both"/>
        <w:rPr>
          <w:b w:val="0"/>
          <w:sz w:val="20"/>
        </w:rPr>
      </w:pPr>
      <w:r w:rsidRPr="003C03B3">
        <w:rPr>
          <w:b w:val="0"/>
          <w:sz w:val="20"/>
        </w:rPr>
        <w:t>Originally considered a reflexive mechanism (Driver et al., 1999; Friesen &amp; Kingstone, 1998; Hietanen, 1999; Langton &amp; Bruce, 1999), GC has been widely used to investigate attentional orienting processes. It is most commonly studied using a variant of the Posner cueing paradigm (Posner, 1980), a classic attentional task in which a centrally presented cue (e.g., an arrow or a flash) precedes a target, and responses are typically faster when the cue validly predicts the target’s location.</w:t>
      </w:r>
    </w:p>
    <w:p w14:paraId="72D6D1DB" w14:textId="77777777" w:rsidR="003C03B3" w:rsidRPr="003C03B3" w:rsidRDefault="003C03B3" w:rsidP="005C54AF">
      <w:pPr>
        <w:pStyle w:val="Heading1"/>
        <w:ind w:firstLine="142"/>
        <w:jc w:val="both"/>
        <w:rPr>
          <w:b w:val="0"/>
          <w:sz w:val="20"/>
        </w:rPr>
      </w:pPr>
      <w:r w:rsidRPr="003C03B3">
        <w:rPr>
          <w:b w:val="0"/>
          <w:sz w:val="20"/>
        </w:rPr>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 (Driver et al., 1999; Friesen &amp; Kingstone, 1998; Hietanen, 1999; Langton &amp; Bruce, 1999). Later support for those findings come also from eye-tracking studies that show that gaze-congruent targets elicit faster saccadic movements (Mansfield et al., 2003; Matsunaka &amp; Hiraki, 2019).</w:t>
      </w:r>
    </w:p>
    <w:p w14:paraId="363DA6A3" w14:textId="77777777" w:rsidR="003C03B3" w:rsidRPr="003C03B3" w:rsidRDefault="003C03B3" w:rsidP="005C54AF">
      <w:pPr>
        <w:pStyle w:val="Heading1"/>
        <w:ind w:firstLine="142"/>
        <w:jc w:val="both"/>
        <w:rPr>
          <w:b w:val="0"/>
          <w:sz w:val="20"/>
        </w:rPr>
      </w:pPr>
      <w:r w:rsidRPr="003C03B3">
        <w:rPr>
          <w:b w:val="0"/>
          <w:sz w:val="20"/>
        </w:rPr>
        <w:t xml:space="preserve">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w:t>
      </w:r>
      <w:r w:rsidRPr="003C03B3">
        <w:rPr>
          <w:b w:val="0"/>
          <w:sz w:val="20"/>
        </w:rPr>
        <w:t>(for a review, see Dalmaso et al., 2020). These findings indicate that gaze cueing is deeply intertwined with social meaning and cognitive mechanisms, highlighting its dynamic and flexible nature and setting the stage for further exploration of its modulation.</w:t>
      </w:r>
    </w:p>
    <w:p w14:paraId="762E7A3A" w14:textId="104C3FC5" w:rsidR="003C03B3" w:rsidRPr="003C03B3" w:rsidRDefault="003C03B3" w:rsidP="005C54AF">
      <w:pPr>
        <w:pStyle w:val="Heading1"/>
        <w:jc w:val="both"/>
        <w:rPr>
          <w:sz w:val="20"/>
        </w:rPr>
      </w:pPr>
      <w:r w:rsidRPr="003C03B3">
        <w:rPr>
          <w:sz w:val="20"/>
        </w:rPr>
        <w:t>Modulators of Gaze Cueing</w:t>
      </w:r>
    </w:p>
    <w:p w14:paraId="7013FA0E" w14:textId="77777777" w:rsidR="003C03B3" w:rsidRPr="003C03B3" w:rsidRDefault="003C03B3" w:rsidP="005C54AF">
      <w:pPr>
        <w:pStyle w:val="Heading1"/>
        <w:ind w:firstLine="142"/>
        <w:jc w:val="both"/>
        <w:rPr>
          <w:b w:val="0"/>
          <w:sz w:val="20"/>
        </w:rPr>
      </w:pPr>
      <w:r w:rsidRPr="003C03B3">
        <w:rPr>
          <w:b w:val="0"/>
          <w:sz w:val="20"/>
        </w:rPr>
        <w:t>Modulators of the gaze cueing effect (GCE) are recently highly researched and can be generally grouped into three broad categories: (1) physical characteristics of the cueing agent, (2) internal states of the observer, and (3) interactions between these factors (Dalmaso et al., 2020).</w:t>
      </w:r>
    </w:p>
    <w:p w14:paraId="496CD602" w14:textId="77777777" w:rsidR="003C03B3" w:rsidRPr="003C03B3" w:rsidRDefault="003C03B3" w:rsidP="005C54AF">
      <w:pPr>
        <w:pStyle w:val="Heading1"/>
        <w:ind w:firstLine="142"/>
        <w:jc w:val="both"/>
        <w:rPr>
          <w:b w:val="0"/>
          <w:sz w:val="20"/>
        </w:rPr>
      </w:pPr>
      <w:r w:rsidRPr="003C03B3">
        <w:rPr>
          <w:b w:val="0"/>
          <w:sz w:val="20"/>
        </w:rPr>
        <w:t xml:space="preserve">Physical characteristics of the cueing face include features such as facial expression, dominance, gender, and social status. A substantial body of research supports this, demonstrating, for instance, that individuals exhibit stronger GCEs when viewing high-status faces (Dalmaso et al., 2012), more dominant (Jones et al., 2010; Ohlsen et al., 2013) or familiar faces they have previously engaged in joint attention with (Deaner et al., 2007; </w:t>
      </w:r>
      <w:proofErr w:type="spellStart"/>
      <w:r w:rsidRPr="003C03B3">
        <w:rPr>
          <w:b w:val="0"/>
          <w:sz w:val="20"/>
        </w:rPr>
        <w:t>Frischen</w:t>
      </w:r>
      <w:proofErr w:type="spellEnd"/>
      <w:r w:rsidRPr="003C03B3">
        <w:rPr>
          <w:b w:val="0"/>
          <w:sz w:val="20"/>
        </w:rPr>
        <w:t xml:space="preserve"> &amp; Tipper, 2006).</w:t>
      </w:r>
    </w:p>
    <w:p w14:paraId="6F5AEC5B" w14:textId="77777777" w:rsidR="003C03B3" w:rsidRPr="003C03B3" w:rsidRDefault="003C03B3" w:rsidP="005C54AF">
      <w:pPr>
        <w:pStyle w:val="Heading1"/>
        <w:ind w:firstLine="142"/>
        <w:jc w:val="both"/>
        <w:rPr>
          <w:b w:val="0"/>
          <w:sz w:val="20"/>
        </w:rPr>
      </w:pPr>
      <w:r w:rsidRPr="003C03B3">
        <w:rPr>
          <w:b w:val="0"/>
          <w:sz w:val="20"/>
        </w:rPr>
        <w:t>Emotional expressions are also considered as modulators of gaze cueing, especially under specific conditions. For instance, a greater GCE is induced by happy faces of female actors (Hori et al., 2005); or faces that previously smiled to the participants (only in low Autism-Spectrum Quotient individuals) (Hudson et al., 2012); Greater GCE is also shown for angry faces, but only when participants were under high cognitive load (</w:t>
      </w:r>
      <w:proofErr w:type="spellStart"/>
      <w:r w:rsidRPr="003C03B3">
        <w:rPr>
          <w:b w:val="0"/>
          <w:sz w:val="20"/>
        </w:rPr>
        <w:t>Pecchinenda</w:t>
      </w:r>
      <w:proofErr w:type="spellEnd"/>
      <w:r w:rsidRPr="003C03B3">
        <w:rPr>
          <w:b w:val="0"/>
          <w:sz w:val="20"/>
        </w:rPr>
        <w:t xml:space="preserve"> &amp; Petrucci, 2016); or for happy and fearful faces after oxytocin administration (Tollenaar et al., 2013).</w:t>
      </w:r>
    </w:p>
    <w:p w14:paraId="0E2A52E7" w14:textId="77777777" w:rsidR="003C03B3" w:rsidRPr="003C03B3" w:rsidRDefault="003C03B3" w:rsidP="005C54AF">
      <w:pPr>
        <w:pStyle w:val="Heading1"/>
        <w:ind w:firstLine="142"/>
        <w:jc w:val="both"/>
        <w:rPr>
          <w:b w:val="0"/>
          <w:sz w:val="20"/>
        </w:rPr>
      </w:pPr>
      <w:r w:rsidRPr="003C03B3">
        <w:rPr>
          <w:b w:val="0"/>
          <w:sz w:val="20"/>
        </w:rPr>
        <w:t>Internal differences of the observer can also play a role as modulatory factors. Traits such as elevated anxiety (Lassalle &amp; Itier, 2015; Mathews et al., 2003), higher levels of fear (Tipples, 2006), or phobias combined with anxiousness (</w:t>
      </w:r>
      <w:proofErr w:type="spellStart"/>
      <w:r w:rsidRPr="003C03B3">
        <w:rPr>
          <w:b w:val="0"/>
          <w:sz w:val="20"/>
        </w:rPr>
        <w:t>Pletti</w:t>
      </w:r>
      <w:proofErr w:type="spellEnd"/>
      <w:r w:rsidRPr="003C03B3">
        <w:rPr>
          <w:b w:val="0"/>
          <w:sz w:val="20"/>
        </w:rPr>
        <w:t xml:space="preserve"> et al., 2015) have been linked to stronger GCEs, as have low self-esteem and heightened social needs (Wu et al., 2014). Personality traits also interact with emotional expression: introverts respond more strongly to neutral and happy faces, while extraverts are more sensitive to angry ones (</w:t>
      </w:r>
      <w:proofErr w:type="spellStart"/>
      <w:r w:rsidRPr="003C03B3">
        <w:rPr>
          <w:b w:val="0"/>
          <w:sz w:val="20"/>
        </w:rPr>
        <w:t>Ponari</w:t>
      </w:r>
      <w:proofErr w:type="spellEnd"/>
      <w:r w:rsidRPr="003C03B3">
        <w:rPr>
          <w:b w:val="0"/>
          <w:sz w:val="20"/>
        </w:rPr>
        <w:t xml:space="preserve"> et al., 2013). Gender may play a role as well, with stronger GCEs reported in females than males (Bayliss et al., 2005).  </w:t>
      </w:r>
    </w:p>
    <w:p w14:paraId="08BB1481" w14:textId="77777777" w:rsidR="003C03B3" w:rsidRPr="003C03B3" w:rsidRDefault="003C03B3" w:rsidP="005C54AF">
      <w:pPr>
        <w:pStyle w:val="Heading1"/>
        <w:ind w:firstLine="142"/>
        <w:jc w:val="both"/>
        <w:rPr>
          <w:b w:val="0"/>
          <w:sz w:val="20"/>
        </w:rPr>
      </w:pPr>
      <w:r w:rsidRPr="003C03B3">
        <w:rPr>
          <w:b w:val="0"/>
          <w:sz w:val="20"/>
        </w:rPr>
        <w:t xml:space="preserve">Beyond stable traits, transient internal states such as social acceptance or rejection (Wilkowski et al., 2009), or primed feelings of power (Cui et al., 2014), have been shown to modulate the GCE—highlighting its sensitivity to both enduring and momentary internal conditions. Interestingly, political temperament also appears to influence gaze cueing, with liberals showing more robust effects than conservatives (Carraro et al., 2015). </w:t>
      </w:r>
    </w:p>
    <w:p w14:paraId="0C0E4F44" w14:textId="77777777" w:rsidR="003C03B3" w:rsidRPr="003C03B3" w:rsidRDefault="003C03B3" w:rsidP="005C54AF">
      <w:pPr>
        <w:pStyle w:val="Heading1"/>
        <w:ind w:firstLine="142"/>
        <w:jc w:val="both"/>
        <w:rPr>
          <w:b w:val="0"/>
          <w:sz w:val="20"/>
        </w:rPr>
      </w:pPr>
      <w:r w:rsidRPr="003C03B3">
        <w:rPr>
          <w:b w:val="0"/>
          <w:sz w:val="20"/>
        </w:rPr>
        <w:t xml:space="preserve">As the reviewed studies illustrate, the gaze cueing effect (GCE) is rarely shaped by a single, isolated factor. Rather, it </w:t>
      </w:r>
      <w:r w:rsidRPr="003C03B3">
        <w:rPr>
          <w:b w:val="0"/>
          <w:sz w:val="20"/>
        </w:rPr>
        <w:lastRenderedPageBreak/>
        <w:t>often results from dynamic interactions between the characteristics of the cueing face (e.g., expression, status, trustworthiness) and traits of the observer (e.g., anxiety, social motivation). This interdependence supports the need for a third category of modulators: interaction effects, which reflect how individual and social factors combine in shaping attentional responses. These findings collectively suggest that gaze cueing is not merely a reflexive shift of attention, but a flexible, context-sensitive process attuned to the intentional and relational significance of gaze.</w:t>
      </w:r>
    </w:p>
    <w:p w14:paraId="1C03923C" w14:textId="77777777" w:rsidR="003C03B3" w:rsidRPr="003C03B3" w:rsidRDefault="003C03B3" w:rsidP="005C54AF">
      <w:pPr>
        <w:pStyle w:val="Heading1"/>
        <w:ind w:firstLine="142"/>
        <w:jc w:val="both"/>
        <w:rPr>
          <w:b w:val="0"/>
          <w:sz w:val="20"/>
        </w:rPr>
      </w:pPr>
      <w:r w:rsidRPr="003C03B3">
        <w:rPr>
          <w:b w:val="0"/>
          <w:sz w:val="20"/>
        </w:rPr>
        <w:t>Despite this growing body of research, one internal state remains notably underexplored in the gaze cueing literature: the sense of agency (</w:t>
      </w:r>
      <w:proofErr w:type="spellStart"/>
      <w:r w:rsidRPr="003C03B3">
        <w:rPr>
          <w:b w:val="0"/>
          <w:sz w:val="20"/>
        </w:rPr>
        <w:t>SoA</w:t>
      </w:r>
      <w:proofErr w:type="spellEnd"/>
      <w:r w:rsidRPr="003C03B3">
        <w:rPr>
          <w:b w:val="0"/>
          <w:sz w:val="20"/>
        </w:rPr>
        <w:t xml:space="preserve">). While prior work has largely emphasized stable personality traits, much less is known about how transient, moment-to-moment cognitive states—such as the subjective experience of control over actions and outcomes—might modulate social attention. Investigating </w:t>
      </w:r>
      <w:proofErr w:type="spellStart"/>
      <w:r w:rsidRPr="003C03B3">
        <w:rPr>
          <w:b w:val="0"/>
          <w:sz w:val="20"/>
        </w:rPr>
        <w:t>SoA</w:t>
      </w:r>
      <w:proofErr w:type="spellEnd"/>
      <w:r w:rsidRPr="003C03B3">
        <w:rPr>
          <w:b w:val="0"/>
          <w:sz w:val="20"/>
        </w:rPr>
        <w:t xml:space="preserve"> thus represents a valuable opportunity to deepen our understanding of how volitional control dynamically interacts with mechanisms of gaze-based attentional orienting and non-verbal communication.</w:t>
      </w:r>
    </w:p>
    <w:p w14:paraId="500DD9EB" w14:textId="45AC1E1B" w:rsidR="003C03B3" w:rsidRPr="003C03B3" w:rsidRDefault="003C03B3" w:rsidP="005C54AF">
      <w:pPr>
        <w:pStyle w:val="Heading1"/>
        <w:ind w:firstLine="142"/>
        <w:jc w:val="both"/>
        <w:rPr>
          <w:sz w:val="20"/>
        </w:rPr>
      </w:pPr>
      <w:r w:rsidRPr="003C03B3">
        <w:rPr>
          <w:sz w:val="20"/>
        </w:rPr>
        <w:t>The Sense of Agency</w:t>
      </w:r>
    </w:p>
    <w:p w14:paraId="3E6DE935" w14:textId="77777777" w:rsidR="003C03B3" w:rsidRPr="003C03B3" w:rsidRDefault="003C03B3" w:rsidP="005C54AF">
      <w:pPr>
        <w:pStyle w:val="Heading1"/>
        <w:ind w:firstLine="142"/>
        <w:jc w:val="both"/>
        <w:rPr>
          <w:b w:val="0"/>
          <w:sz w:val="20"/>
        </w:rPr>
      </w:pPr>
      <w:r w:rsidRPr="003C03B3">
        <w:rPr>
          <w:b w:val="0"/>
          <w:sz w:val="20"/>
        </w:rPr>
        <w:t>The sense of agency (</w:t>
      </w:r>
      <w:proofErr w:type="spellStart"/>
      <w:r w:rsidRPr="003C03B3">
        <w:rPr>
          <w:b w:val="0"/>
          <w:sz w:val="20"/>
        </w:rPr>
        <w:t>SoA</w:t>
      </w:r>
      <w:proofErr w:type="spellEnd"/>
      <w:r w:rsidRPr="003C03B3">
        <w:rPr>
          <w:b w:val="0"/>
          <w:sz w:val="20"/>
        </w:rPr>
        <w:t xml:space="preserve">) can be defined as the pre-reflective feeling of being the agent of one’s own actions (Gallagher, 2000), and the experience of controlling them and, through them, controlling events in the external world (Haggard &amp; Tsakiris, 2009). In other words, it is the feeling that "I am the one who is causing this effect." </w:t>
      </w:r>
      <w:proofErr w:type="spellStart"/>
      <w:r w:rsidRPr="003C03B3">
        <w:rPr>
          <w:b w:val="0"/>
          <w:sz w:val="20"/>
        </w:rPr>
        <w:t>SoA</w:t>
      </w:r>
      <w:proofErr w:type="spellEnd"/>
      <w:r w:rsidRPr="003C03B3">
        <w:rPr>
          <w:b w:val="0"/>
          <w:sz w:val="20"/>
        </w:rPr>
        <w:t xml:space="preserve"> is fundamental to motor control, self-awareness, and social interaction, where recognizing one’s own contributions is essential for coordinating joint actions (Gallagher, 2000). As discussed in Agency and Joint Attention (Metcalfe &amp; Terrace, 2013), </w:t>
      </w:r>
      <w:proofErr w:type="spellStart"/>
      <w:r w:rsidRPr="003C03B3">
        <w:rPr>
          <w:b w:val="0"/>
          <w:sz w:val="20"/>
        </w:rPr>
        <w:t>SoA</w:t>
      </w:r>
      <w:proofErr w:type="spellEnd"/>
      <w:r w:rsidRPr="003C03B3">
        <w:rPr>
          <w:b w:val="0"/>
          <w:sz w:val="20"/>
        </w:rPr>
        <w:t xml:space="preserve"> also supports the development of joint attention, a critical capacity for aligning visual focus and inferring others’ intentions (e.g., theory of mind - </w:t>
      </w:r>
      <w:proofErr w:type="spellStart"/>
      <w:r w:rsidRPr="003C03B3">
        <w:rPr>
          <w:b w:val="0"/>
          <w:sz w:val="20"/>
        </w:rPr>
        <w:t>ToM</w:t>
      </w:r>
      <w:proofErr w:type="spellEnd"/>
      <w:r w:rsidRPr="003C03B3">
        <w:rPr>
          <w:b w:val="0"/>
          <w:sz w:val="20"/>
        </w:rPr>
        <w:t>).</w:t>
      </w:r>
    </w:p>
    <w:p w14:paraId="1998721E" w14:textId="5AD3A047" w:rsidR="003C03B3" w:rsidRPr="003C03B3" w:rsidRDefault="003C03B3" w:rsidP="005C54AF">
      <w:pPr>
        <w:pStyle w:val="Heading1"/>
        <w:ind w:firstLine="142"/>
        <w:jc w:val="both"/>
        <w:rPr>
          <w:b w:val="0"/>
          <w:sz w:val="20"/>
        </w:rPr>
      </w:pPr>
      <w:r w:rsidRPr="003C03B3">
        <w:rPr>
          <w:b w:val="0"/>
          <w:sz w:val="20"/>
        </w:rPr>
        <w:t xml:space="preserve">Several theoretical frameworks have been proposed to explain how </w:t>
      </w:r>
      <w:proofErr w:type="spellStart"/>
      <w:r w:rsidRPr="003C03B3">
        <w:rPr>
          <w:b w:val="0"/>
          <w:sz w:val="20"/>
        </w:rPr>
        <w:t>SoA</w:t>
      </w:r>
      <w:proofErr w:type="spellEnd"/>
      <w:r w:rsidRPr="003C03B3">
        <w:rPr>
          <w:b w:val="0"/>
          <w:sz w:val="20"/>
        </w:rPr>
        <w:t xml:space="preserve"> arises. Predictive coding models suggest that agency stems from the match between predicted and actual sensory outcomes (Friston, 2012; Wolpert &amp; </w:t>
      </w:r>
      <w:proofErr w:type="spellStart"/>
      <w:r w:rsidRPr="003C03B3">
        <w:rPr>
          <w:b w:val="0"/>
          <w:sz w:val="20"/>
        </w:rPr>
        <w:t>Kawato</w:t>
      </w:r>
      <w:proofErr w:type="spellEnd"/>
      <w:r w:rsidRPr="003C03B3">
        <w:rPr>
          <w:b w:val="0"/>
          <w:sz w:val="20"/>
        </w:rPr>
        <w:t>, 1998). Cue integration models propose that internal motor signals and external cues are combined, with more reliable cues contributing more heavily to the final judgment of agency (</w:t>
      </w:r>
      <w:proofErr w:type="spellStart"/>
      <w:r w:rsidRPr="003C03B3">
        <w:rPr>
          <w:b w:val="0"/>
          <w:sz w:val="20"/>
        </w:rPr>
        <w:t>Pacherie</w:t>
      </w:r>
      <w:proofErr w:type="spellEnd"/>
      <w:r w:rsidRPr="003C03B3">
        <w:rPr>
          <w:b w:val="0"/>
          <w:sz w:val="20"/>
        </w:rPr>
        <w:t>, 2013, in Metcalfe &amp; Terrace, 2013). Retrospective inference models argue that agency can also be inferred after the fact, based on contextual and temporal information (Wegner, 200</w:t>
      </w:r>
      <w:r w:rsidR="000B08CD">
        <w:rPr>
          <w:b w:val="0"/>
          <w:sz w:val="20"/>
        </w:rPr>
        <w:t>4</w:t>
      </w:r>
      <w:r w:rsidRPr="003C03B3">
        <w:rPr>
          <w:b w:val="0"/>
          <w:sz w:val="20"/>
        </w:rPr>
        <w:t>). Despite their differences, these models converge on a central claim: congruency between intended actions and observed outcomes enhances the experience of agency (Metcalfe &amp; Terrace, 2013).</w:t>
      </w:r>
    </w:p>
    <w:p w14:paraId="085EB6E7" w14:textId="77777777" w:rsidR="003C03B3" w:rsidRPr="003C03B3" w:rsidRDefault="003C03B3" w:rsidP="005C54AF">
      <w:pPr>
        <w:pStyle w:val="Heading1"/>
        <w:ind w:firstLine="142"/>
        <w:jc w:val="both"/>
        <w:rPr>
          <w:b w:val="0"/>
          <w:sz w:val="20"/>
        </w:rPr>
      </w:pPr>
      <w:r w:rsidRPr="00384BDB">
        <w:rPr>
          <w:b w:val="0"/>
          <w:sz w:val="20"/>
        </w:rPr>
        <w:t xml:space="preserve">Importantly, recent research shows that </w:t>
      </w:r>
      <w:proofErr w:type="spellStart"/>
      <w:r w:rsidRPr="00384BDB">
        <w:rPr>
          <w:b w:val="0"/>
          <w:sz w:val="20"/>
        </w:rPr>
        <w:t>SoA</w:t>
      </w:r>
      <w:proofErr w:type="spellEnd"/>
      <w:r w:rsidRPr="00384BDB">
        <w:rPr>
          <w:b w:val="0"/>
          <w:sz w:val="20"/>
        </w:rPr>
        <w:t xml:space="preserve"> is not limited to motor actions like button presses. For instance, Gutzeit et al. (2024) demonstrated that people can experience agency over eye movements, particularly when gaze behavior leads</w:t>
      </w:r>
      <w:r w:rsidRPr="003C03B3">
        <w:rPr>
          <w:b w:val="0"/>
          <w:sz w:val="20"/>
        </w:rPr>
        <w:t xml:space="preserve"> </w:t>
      </w:r>
      <w:r w:rsidRPr="003C03B3">
        <w:rPr>
          <w:b w:val="0"/>
          <w:sz w:val="20"/>
        </w:rPr>
        <w:t>to predictable outcomes such as color changes. Their study revealed that gaze–outcome contingency increased both explicit agency ratings and temporal binding effects, supporting the generalizability of predictive models to the oculomotor domain.</w:t>
      </w:r>
    </w:p>
    <w:p w14:paraId="349B72C4" w14:textId="77777777" w:rsidR="003C03B3" w:rsidRPr="003C03B3" w:rsidRDefault="003C03B3" w:rsidP="005C54AF">
      <w:pPr>
        <w:pStyle w:val="Heading1"/>
        <w:ind w:firstLine="142"/>
        <w:jc w:val="both"/>
        <w:rPr>
          <w:b w:val="0"/>
          <w:sz w:val="20"/>
        </w:rPr>
      </w:pPr>
      <w:r w:rsidRPr="003C03B3">
        <w:rPr>
          <w:b w:val="0"/>
          <w:sz w:val="20"/>
        </w:rPr>
        <w:t xml:space="preserve">Other studies highlight the social embedding of agency. Ulloa et al. (2019) found that mutual gaze enhances perceived agency in social contexts. Participants felt more in control of outcomes when their gaze was met by another’s, suggesting that social cues like eye contact modulate </w:t>
      </w:r>
      <w:proofErr w:type="spellStart"/>
      <w:r w:rsidRPr="003C03B3">
        <w:rPr>
          <w:b w:val="0"/>
          <w:sz w:val="20"/>
        </w:rPr>
        <w:t>SoA</w:t>
      </w:r>
      <w:proofErr w:type="spellEnd"/>
      <w:r w:rsidRPr="003C03B3">
        <w:rPr>
          <w:b w:val="0"/>
          <w:sz w:val="20"/>
        </w:rPr>
        <w:t>—a finding that underscores the role of interpersonal feedback in agency judgments.</w:t>
      </w:r>
    </w:p>
    <w:p w14:paraId="4A8EA18B" w14:textId="77777777" w:rsidR="003C03B3" w:rsidRPr="003C03B3" w:rsidRDefault="003C03B3" w:rsidP="005C54AF">
      <w:pPr>
        <w:pStyle w:val="Heading1"/>
        <w:ind w:firstLine="142"/>
        <w:jc w:val="both"/>
        <w:rPr>
          <w:b w:val="0"/>
          <w:sz w:val="20"/>
        </w:rPr>
      </w:pPr>
      <w:r w:rsidRPr="003C03B3">
        <w:rPr>
          <w:b w:val="0"/>
          <w:sz w:val="20"/>
        </w:rPr>
        <w:t xml:space="preserve">Together, these results position </w:t>
      </w:r>
      <w:proofErr w:type="spellStart"/>
      <w:r w:rsidRPr="003C03B3">
        <w:rPr>
          <w:b w:val="0"/>
          <w:sz w:val="20"/>
        </w:rPr>
        <w:t>SoA</w:t>
      </w:r>
      <w:proofErr w:type="spellEnd"/>
      <w:r w:rsidRPr="003C03B3">
        <w:rPr>
          <w:b w:val="0"/>
          <w:sz w:val="20"/>
        </w:rPr>
        <w:t xml:space="preserve"> as multimodal, context-sensitive, and deeply social, extending beyond physical actions into attentional and communicative domains.</w:t>
      </w:r>
    </w:p>
    <w:p w14:paraId="5CD83141" w14:textId="5930E4B1" w:rsidR="003C03B3" w:rsidRPr="003C03B3" w:rsidRDefault="003C03B3" w:rsidP="003C03B3">
      <w:pPr>
        <w:pStyle w:val="Heading1"/>
        <w:jc w:val="both"/>
        <w:rPr>
          <w:b w:val="0"/>
          <w:sz w:val="20"/>
        </w:rPr>
      </w:pPr>
      <w:r w:rsidRPr="003C03B3">
        <w:rPr>
          <w:sz w:val="20"/>
        </w:rPr>
        <w:t>Agency’s Influence on Perception and Attention</w:t>
      </w:r>
    </w:p>
    <w:p w14:paraId="6CE669B2" w14:textId="419DCF13" w:rsidR="003C03B3" w:rsidRPr="005C54AF" w:rsidRDefault="003C03B3" w:rsidP="005C54AF">
      <w:pPr>
        <w:pStyle w:val="Heading1"/>
        <w:ind w:firstLine="142"/>
        <w:jc w:val="both"/>
        <w:rPr>
          <w:rFonts w:eastAsia="Times"/>
          <w:b w:val="0"/>
          <w:sz w:val="20"/>
        </w:rPr>
      </w:pPr>
      <w:r w:rsidRPr="005C54AF">
        <w:rPr>
          <w:rFonts w:eastAsia="Times"/>
          <w:b w:val="0"/>
          <w:sz w:val="20"/>
        </w:rPr>
        <w:t xml:space="preserve">A growing body of evidence shows that </w:t>
      </w:r>
      <w:proofErr w:type="spellStart"/>
      <w:r w:rsidRPr="005C54AF">
        <w:rPr>
          <w:rFonts w:eastAsia="Times"/>
          <w:b w:val="0"/>
          <w:sz w:val="20"/>
        </w:rPr>
        <w:t>SoA</w:t>
      </w:r>
      <w:proofErr w:type="spellEnd"/>
      <w:r w:rsidRPr="005C54AF">
        <w:rPr>
          <w:rFonts w:eastAsia="Times"/>
          <w:b w:val="0"/>
          <w:sz w:val="20"/>
        </w:rPr>
        <w:t xml:space="preserve"> affects not only how actions are experienced, but also how sensory and attentional processes unfold. For example, the intentional binding effect—a compression in perceived time between an action and its effect—is a widely used implicit measure of agency (</w:t>
      </w:r>
      <w:bookmarkStart w:id="0" w:name="_Hlk202040880"/>
      <w:r w:rsidRPr="005C54AF">
        <w:rPr>
          <w:rFonts w:eastAsia="Times"/>
          <w:b w:val="0"/>
          <w:sz w:val="20"/>
        </w:rPr>
        <w:t xml:space="preserve">Haggard </w:t>
      </w:r>
      <w:bookmarkEnd w:id="0"/>
      <w:r w:rsidRPr="005C54AF">
        <w:rPr>
          <w:rFonts w:eastAsia="Times"/>
          <w:b w:val="0"/>
          <w:sz w:val="20"/>
        </w:rPr>
        <w:t>et al., 2002). Likewise, sensory attenuation refers to the phenomenon where self-generated stimuli (e.g., sounds, touches) are perceived as less intense, presumably due to predictive down-weighting (Blakemore et al., 1998; Shergill et al., 2003).</w:t>
      </w:r>
    </w:p>
    <w:p w14:paraId="5E71BEC2" w14:textId="77777777" w:rsidR="003C03B3" w:rsidRPr="005C54AF" w:rsidRDefault="003C03B3" w:rsidP="005C54AF">
      <w:pPr>
        <w:pStyle w:val="Heading1"/>
        <w:ind w:firstLine="142"/>
        <w:jc w:val="both"/>
        <w:rPr>
          <w:rFonts w:eastAsia="Times"/>
          <w:b w:val="0"/>
          <w:sz w:val="20"/>
        </w:rPr>
      </w:pPr>
      <w:proofErr w:type="spellStart"/>
      <w:r w:rsidRPr="005C54AF">
        <w:rPr>
          <w:rFonts w:eastAsia="Times"/>
          <w:b w:val="0"/>
          <w:sz w:val="20"/>
        </w:rPr>
        <w:t>SoA</w:t>
      </w:r>
      <w:proofErr w:type="spellEnd"/>
      <w:r w:rsidRPr="005C54AF">
        <w:rPr>
          <w:rFonts w:eastAsia="Times"/>
          <w:b w:val="0"/>
          <w:sz w:val="20"/>
        </w:rPr>
        <w:t xml:space="preserve"> also influences higher-level attention and perceptual salience. Wenke et al. (2010) showed that people preferentially attend to outcomes they believe they caused and deprioritize those attributed to external sources. These findings align with the view that action–outcome congruency tunes attentional systems, likely through top-down predictive mechanisms.</w:t>
      </w:r>
    </w:p>
    <w:p w14:paraId="3351E13B" w14:textId="43C24513" w:rsidR="003C03B3" w:rsidRPr="003C03B3" w:rsidRDefault="003C03B3" w:rsidP="005C54AF">
      <w:pPr>
        <w:pStyle w:val="Heading1"/>
        <w:ind w:firstLine="142"/>
        <w:jc w:val="both"/>
        <w:rPr>
          <w:b w:val="0"/>
          <w:sz w:val="20"/>
        </w:rPr>
      </w:pPr>
      <w:r w:rsidRPr="003C03B3">
        <w:rPr>
          <w:b w:val="0"/>
          <w:sz w:val="20"/>
        </w:rPr>
        <w:t xml:space="preserve">In the social domain, agency and attention appear to interact closely. As mentioned above, Ulloa et al. (2019) demonstrated that eye contact not only communicates engagement but also enhances </w:t>
      </w:r>
      <w:proofErr w:type="spellStart"/>
      <w:r w:rsidRPr="003C03B3">
        <w:rPr>
          <w:b w:val="0"/>
          <w:sz w:val="20"/>
        </w:rPr>
        <w:t>SoA</w:t>
      </w:r>
      <w:proofErr w:type="spellEnd"/>
      <w:r w:rsidRPr="003C03B3">
        <w:rPr>
          <w:b w:val="0"/>
          <w:sz w:val="20"/>
        </w:rPr>
        <w:t xml:space="preserve">. Meanwhile, Gutzeit et al. (2024) showed that even gaze-contingent effects—where simply looking in a direction causes an event—are sufficient to elicit </w:t>
      </w:r>
      <w:proofErr w:type="spellStart"/>
      <w:r w:rsidRPr="003C03B3">
        <w:rPr>
          <w:b w:val="0"/>
          <w:sz w:val="20"/>
        </w:rPr>
        <w:t>SoA</w:t>
      </w:r>
      <w:proofErr w:type="spellEnd"/>
      <w:r w:rsidRPr="003C03B3">
        <w:rPr>
          <w:b w:val="0"/>
          <w:sz w:val="20"/>
        </w:rPr>
        <w:t xml:space="preserve">, particularly when the action–effect relationship is perceived as contingent and predictable. </w:t>
      </w:r>
    </w:p>
    <w:p w14:paraId="47E1A263" w14:textId="12D1C877" w:rsidR="003C03B3" w:rsidRPr="005C54AF" w:rsidRDefault="003C03B3" w:rsidP="005C54AF">
      <w:pPr>
        <w:pStyle w:val="Heading2"/>
      </w:pPr>
      <w:r w:rsidRPr="005C54AF">
        <w:t>Current Study</w:t>
      </w:r>
    </w:p>
    <w:p w14:paraId="716CA739" w14:textId="57A1E04E" w:rsidR="003C03B3" w:rsidRPr="003C03B3" w:rsidRDefault="003C03B3" w:rsidP="005C54AF">
      <w:pPr>
        <w:pStyle w:val="Heading1"/>
        <w:ind w:firstLine="142"/>
        <w:jc w:val="both"/>
        <w:rPr>
          <w:b w:val="0"/>
          <w:sz w:val="20"/>
        </w:rPr>
      </w:pPr>
      <w:r w:rsidRPr="003C03B3">
        <w:rPr>
          <w:b w:val="0"/>
          <w:sz w:val="20"/>
        </w:rPr>
        <w:t>The present experiment is part of a larger research program investigating how different types of actions—ranging from full bodily movements to minimal oculomotor shifts—</w:t>
      </w:r>
      <w:r>
        <w:rPr>
          <w:b w:val="0"/>
          <w:sz w:val="20"/>
        </w:rPr>
        <w:lastRenderedPageBreak/>
        <w:t>i</w:t>
      </w:r>
      <w:r w:rsidRPr="003C03B3">
        <w:rPr>
          <w:b w:val="0"/>
          <w:sz w:val="20"/>
        </w:rPr>
        <w:t>nteract with attentional and social-perceptual mechanisms such as gaze cueing.</w:t>
      </w:r>
    </w:p>
    <w:p w14:paraId="0166F0D9" w14:textId="7826FBA1" w:rsidR="003C03B3" w:rsidRPr="003C03B3" w:rsidRDefault="003C03B3" w:rsidP="005C54AF">
      <w:pPr>
        <w:pStyle w:val="Heading1"/>
        <w:ind w:firstLine="142"/>
        <w:jc w:val="both"/>
        <w:rPr>
          <w:b w:val="0"/>
          <w:sz w:val="20"/>
        </w:rPr>
      </w:pPr>
      <w:r w:rsidRPr="003C03B3">
        <w:rPr>
          <w:b w:val="0"/>
          <w:sz w:val="20"/>
        </w:rPr>
        <w:t>Despite its theoretical significance and centrality to volitional behavior, the influence of the sense of agency (</w:t>
      </w:r>
      <w:proofErr w:type="spellStart"/>
      <w:r w:rsidRPr="003C03B3">
        <w:rPr>
          <w:b w:val="0"/>
          <w:sz w:val="20"/>
        </w:rPr>
        <w:t>SoA</w:t>
      </w:r>
      <w:proofErr w:type="spellEnd"/>
      <w:r w:rsidRPr="003C03B3">
        <w:rPr>
          <w:b w:val="0"/>
          <w:sz w:val="20"/>
        </w:rPr>
        <w:t xml:space="preserve">) on attentional processes—specifically gaze cueing—remains poorly understood. While prior research has shown that gaze behavior can influence </w:t>
      </w:r>
      <w:proofErr w:type="spellStart"/>
      <w:r w:rsidRPr="003C03B3">
        <w:rPr>
          <w:b w:val="0"/>
          <w:sz w:val="20"/>
        </w:rPr>
        <w:t>SoA</w:t>
      </w:r>
      <w:proofErr w:type="spellEnd"/>
      <w:r w:rsidRPr="003C03B3">
        <w:rPr>
          <w:b w:val="0"/>
          <w:sz w:val="20"/>
        </w:rPr>
        <w:t xml:space="preserve"> (e.g., mutual gaze enhancing agency; Ulloa et al., 2019; Stephenson et al., 2018), the reverse relationship—whether agency modulates the perceptual and attentional impact of gaze cues—has not been directly tested. Our study addresses this gap by investigating whether </w:t>
      </w:r>
      <w:proofErr w:type="spellStart"/>
      <w:r w:rsidRPr="003C03B3">
        <w:rPr>
          <w:b w:val="0"/>
          <w:sz w:val="20"/>
        </w:rPr>
        <w:t>SoA</w:t>
      </w:r>
      <w:proofErr w:type="spellEnd"/>
      <w:r w:rsidRPr="003C03B3">
        <w:rPr>
          <w:b w:val="0"/>
          <w:sz w:val="20"/>
        </w:rPr>
        <w:t xml:space="preserve"> shapes the strength of gaze cueing effects (GC), that is, the reflexive shift of attention in the direction of another's gaze.</w:t>
      </w:r>
    </w:p>
    <w:p w14:paraId="5B0EE267" w14:textId="0A9053E4" w:rsidR="003C03B3" w:rsidRPr="003C03B3" w:rsidRDefault="003C03B3" w:rsidP="005C54AF">
      <w:pPr>
        <w:pStyle w:val="Heading1"/>
        <w:ind w:firstLine="142"/>
        <w:jc w:val="both"/>
        <w:rPr>
          <w:b w:val="0"/>
          <w:sz w:val="20"/>
        </w:rPr>
      </w:pPr>
      <w:r w:rsidRPr="003C03B3">
        <w:rPr>
          <w:b w:val="0"/>
          <w:sz w:val="20"/>
        </w:rPr>
        <w:t xml:space="preserve">In this experiment, we operationalize </w:t>
      </w:r>
      <w:proofErr w:type="spellStart"/>
      <w:r w:rsidRPr="003C03B3">
        <w:rPr>
          <w:b w:val="0"/>
          <w:sz w:val="20"/>
        </w:rPr>
        <w:t>SoA</w:t>
      </w:r>
      <w:proofErr w:type="spellEnd"/>
      <w:r w:rsidRPr="003C03B3">
        <w:rPr>
          <w:b w:val="0"/>
          <w:sz w:val="20"/>
        </w:rPr>
        <w:t xml:space="preserve"> through action–outcome congruency: whether the direction of a gaze shift aligns with the participant’s chosen action. Participants perform a color categorization task in which a synthetic face with dynamic pupil motion precedes target onset. In active trials, participants choose a direction, which then either matches (congruent) or opposes (incongruent) the resulting gaze direction. In passive (control) trials, gaze direction is externally determined and participants have no control over it. The gaze direction itself is either valid (target appears on the same side) or invalid (opposite side), allowing us to measure how agency modulates the behavioral impact of gaze cues.</w:t>
      </w:r>
    </w:p>
    <w:p w14:paraId="44AD9F41" w14:textId="5DEF03CE" w:rsidR="003C03B3" w:rsidRPr="003C03B3" w:rsidRDefault="003C03B3" w:rsidP="005C54AF">
      <w:pPr>
        <w:pStyle w:val="Heading1"/>
        <w:ind w:firstLine="142"/>
        <w:jc w:val="both"/>
        <w:rPr>
          <w:b w:val="0"/>
          <w:sz w:val="20"/>
        </w:rPr>
      </w:pPr>
      <w:r w:rsidRPr="003C03B3">
        <w:rPr>
          <w:b w:val="0"/>
          <w:sz w:val="20"/>
        </w:rPr>
        <w:t xml:space="preserve">This design allows us to move beyond traditional accounts that treat gaze cueing as largely automatic by examining how internal states like </w:t>
      </w:r>
      <w:proofErr w:type="spellStart"/>
      <w:r w:rsidRPr="003C03B3">
        <w:rPr>
          <w:b w:val="0"/>
          <w:sz w:val="20"/>
        </w:rPr>
        <w:t>SoA</w:t>
      </w:r>
      <w:proofErr w:type="spellEnd"/>
      <w:r w:rsidRPr="003C03B3">
        <w:rPr>
          <w:b w:val="0"/>
          <w:sz w:val="20"/>
        </w:rPr>
        <w:t xml:space="preserve"> dynamically shape social attention. Drawing on predictive processing (Friston, 2012; Wolpert &amp; </w:t>
      </w:r>
      <w:proofErr w:type="spellStart"/>
      <w:r w:rsidRPr="003C03B3">
        <w:rPr>
          <w:b w:val="0"/>
          <w:sz w:val="20"/>
        </w:rPr>
        <w:t>Kawato</w:t>
      </w:r>
      <w:proofErr w:type="spellEnd"/>
      <w:r w:rsidRPr="003C03B3">
        <w:rPr>
          <w:b w:val="0"/>
          <w:sz w:val="20"/>
        </w:rPr>
        <w:t>, 1998) and cue integration frameworks (</w:t>
      </w:r>
      <w:proofErr w:type="spellStart"/>
      <w:r w:rsidRPr="003C03B3">
        <w:rPr>
          <w:b w:val="0"/>
          <w:sz w:val="20"/>
        </w:rPr>
        <w:t>Pacherie</w:t>
      </w:r>
      <w:proofErr w:type="spellEnd"/>
      <w:r w:rsidRPr="003C03B3">
        <w:rPr>
          <w:b w:val="0"/>
          <w:sz w:val="20"/>
        </w:rPr>
        <w:t>, 2013), as well as empirical findings showing that congruent action–outcome relationships enhance both agency and attentional salience (Wenke et al., 2010; Gutzeit et al., 2024), we propose that the effectiveness of gaze cues will vary systematically with perceived agency.</w:t>
      </w:r>
    </w:p>
    <w:p w14:paraId="0A12B310" w14:textId="3571D598" w:rsidR="003C03B3" w:rsidRPr="003C03B3" w:rsidRDefault="003C03B3" w:rsidP="005C54AF">
      <w:pPr>
        <w:pStyle w:val="Heading1"/>
        <w:ind w:firstLine="142"/>
        <w:jc w:val="both"/>
        <w:rPr>
          <w:b w:val="0"/>
          <w:sz w:val="20"/>
        </w:rPr>
      </w:pPr>
      <w:r w:rsidRPr="003C03B3">
        <w:rPr>
          <w:b w:val="0"/>
          <w:sz w:val="20"/>
        </w:rPr>
        <w:t xml:space="preserve">Specifically, we expect enhanced gaze cueing in active–congruent conditions, where participants’ chosen direction is followed by a matching gaze shift, reinforcing predictive congruency and strengthening </w:t>
      </w:r>
      <w:proofErr w:type="spellStart"/>
      <w:r w:rsidRPr="003C03B3">
        <w:rPr>
          <w:b w:val="0"/>
          <w:sz w:val="20"/>
        </w:rPr>
        <w:t>SoA</w:t>
      </w:r>
      <w:proofErr w:type="spellEnd"/>
      <w:r w:rsidRPr="003C03B3">
        <w:rPr>
          <w:b w:val="0"/>
          <w:sz w:val="20"/>
        </w:rPr>
        <w:t>. By contrast, active–incongruent trials may weaken or disrupt cueing, as the violated expectation likely reduces perceived agency. Passive trials, in which no volitional input is involved, are expected to yield intermediate effects, reflecting neither enhanced agency nor explicit violation of expectations.</w:t>
      </w:r>
    </w:p>
    <w:p w14:paraId="1ECBF036" w14:textId="0A6C301A" w:rsidR="003C03B3" w:rsidRDefault="003C03B3" w:rsidP="005C54AF">
      <w:pPr>
        <w:pStyle w:val="Heading1"/>
        <w:ind w:firstLine="142"/>
        <w:jc w:val="both"/>
      </w:pPr>
      <w:r w:rsidRPr="003C03B3">
        <w:rPr>
          <w:b w:val="0"/>
          <w:sz w:val="20"/>
        </w:rPr>
        <w:t xml:space="preserve">This approach inverts previous paradigms focused on how gaze influences agency, offering instead a novel framework for understanding how </w:t>
      </w:r>
      <w:proofErr w:type="spellStart"/>
      <w:r w:rsidRPr="003C03B3">
        <w:rPr>
          <w:b w:val="0"/>
          <w:sz w:val="20"/>
        </w:rPr>
        <w:t>SoA</w:t>
      </w:r>
      <w:proofErr w:type="spellEnd"/>
      <w:r w:rsidRPr="003C03B3">
        <w:rPr>
          <w:b w:val="0"/>
          <w:sz w:val="20"/>
        </w:rPr>
        <w:t xml:space="preserve"> can act as a top-down modulator of gaze-guided attention. The findings extend gaze cueing research into the domain of volitional control and predictive inference, highlighting the bidirectional interplay between internal states and social cues. Moreover, our work has </w:t>
      </w:r>
      <w:r w:rsidRPr="003C03B3">
        <w:rPr>
          <w:b w:val="0"/>
          <w:sz w:val="20"/>
        </w:rPr>
        <w:t>broader implications: real-world joint attention and social coordination often depend on a person’s perceived role as an initiator or responder. Understanding how perceived control modulates attention to gaze can inform not only cognitive models of social perception, but also practical applications in education, therapy, and the design of socially responsive artificial agents.</w:t>
      </w:r>
    </w:p>
    <w:p w14:paraId="5D4C1F1A" w14:textId="7D14B761" w:rsidR="006B01E9" w:rsidRDefault="00DC58C8" w:rsidP="00446326">
      <w:pPr>
        <w:pStyle w:val="Heading1"/>
      </w:pPr>
      <w:r>
        <w:t>Experiment</w:t>
      </w:r>
    </w:p>
    <w:p w14:paraId="35CFF2A9" w14:textId="59454F80" w:rsidR="006B01E9" w:rsidRDefault="006B01E9" w:rsidP="006B01E9">
      <w:pPr>
        <w:pStyle w:val="Heading2"/>
      </w:pPr>
      <w:r>
        <w:t>Method</w:t>
      </w:r>
    </w:p>
    <w:p w14:paraId="0DF7A49E" w14:textId="1C9C6A15" w:rsidR="006B01E9" w:rsidRDefault="006B01E9" w:rsidP="006B01E9">
      <w:pPr>
        <w:pStyle w:val="Heading3"/>
      </w:pPr>
      <w:r>
        <w:t>Participants</w:t>
      </w:r>
      <w:r>
        <w:rPr>
          <w:b w:val="0"/>
        </w:rPr>
        <w:t xml:space="preserve"> </w:t>
      </w:r>
      <w:r w:rsidR="00D91CEE" w:rsidRPr="00D91CEE">
        <w:rPr>
          <w:b w:val="0"/>
        </w:rPr>
        <w:t>Forty-</w:t>
      </w:r>
      <w:r w:rsidR="00DC58C8">
        <w:rPr>
          <w:b w:val="0"/>
        </w:rPr>
        <w:t>three</w:t>
      </w:r>
      <w:r w:rsidR="00D91CEE" w:rsidRPr="00D91CEE">
        <w:rPr>
          <w:b w:val="0"/>
        </w:rPr>
        <w:t xml:space="preserve"> </w:t>
      </w:r>
      <w:r w:rsidR="00FD245D">
        <w:rPr>
          <w:b w:val="0"/>
        </w:rPr>
        <w:t>students</w:t>
      </w:r>
      <w:r w:rsidR="00D91CEE" w:rsidRPr="00D91CEE">
        <w:rPr>
          <w:b w:val="0"/>
        </w:rPr>
        <w:t xml:space="preserve"> participated in the </w:t>
      </w:r>
      <w:bookmarkStart w:id="1" w:name="_Hlk202037881"/>
      <w:r w:rsidR="00D91CEE" w:rsidRPr="00D91CEE">
        <w:rPr>
          <w:b w:val="0"/>
        </w:rPr>
        <w:t>e</w:t>
      </w:r>
      <w:r w:rsidR="00FD245D">
        <w:rPr>
          <w:b w:val="0"/>
        </w:rPr>
        <w:t xml:space="preserve">xperiment (7 males, </w:t>
      </w:r>
      <w:r w:rsidR="009F261B">
        <w:rPr>
          <w:b w:val="0"/>
        </w:rPr>
        <w:t xml:space="preserve">age </w:t>
      </w:r>
      <w:r w:rsidR="000E54EC">
        <w:rPr>
          <w:b w:val="0"/>
        </w:rPr>
        <w:t>M(SD)=</w:t>
      </w:r>
      <w:r w:rsidR="00FD245D">
        <w:rPr>
          <w:b w:val="0"/>
        </w:rPr>
        <w:t>2</w:t>
      </w:r>
      <w:r w:rsidR="00DC58C8">
        <w:rPr>
          <w:b w:val="0"/>
        </w:rPr>
        <w:t>4</w:t>
      </w:r>
      <w:r w:rsidR="00FD245D">
        <w:rPr>
          <w:b w:val="0"/>
        </w:rPr>
        <w:t>.</w:t>
      </w:r>
      <w:r w:rsidR="00DC58C8">
        <w:rPr>
          <w:b w:val="0"/>
        </w:rPr>
        <w:t>7</w:t>
      </w:r>
      <w:r w:rsidR="000E54EC">
        <w:rPr>
          <w:b w:val="0"/>
        </w:rPr>
        <w:t>(</w:t>
      </w:r>
      <w:r w:rsidR="00DC58C8">
        <w:rPr>
          <w:b w:val="0"/>
        </w:rPr>
        <w:t>8</w:t>
      </w:r>
      <w:r w:rsidR="000E54EC">
        <w:rPr>
          <w:b w:val="0"/>
        </w:rPr>
        <w:t>.</w:t>
      </w:r>
      <w:r w:rsidR="00DC58C8">
        <w:rPr>
          <w:b w:val="0"/>
        </w:rPr>
        <w:t>4</w:t>
      </w:r>
      <w:r w:rsidR="000E54EC">
        <w:rPr>
          <w:b w:val="0"/>
        </w:rPr>
        <w:t>) years old</w:t>
      </w:r>
      <w:r w:rsidR="00D91CEE" w:rsidRPr="00D91CEE">
        <w:rPr>
          <w:b w:val="0"/>
        </w:rPr>
        <w:t xml:space="preserve">). </w:t>
      </w:r>
      <w:r w:rsidR="00E15743">
        <w:rPr>
          <w:b w:val="0"/>
        </w:rPr>
        <w:t xml:space="preserve">They either </w:t>
      </w:r>
      <w:r w:rsidR="00D91CEE" w:rsidRPr="00D91CEE">
        <w:rPr>
          <w:b w:val="0"/>
        </w:rPr>
        <w:t>volunteered or</w:t>
      </w:r>
      <w:r w:rsidR="00F07B02">
        <w:rPr>
          <w:b w:val="0"/>
        </w:rPr>
        <w:t xml:space="preserve"> participated</w:t>
      </w:r>
      <w:r w:rsidR="00D91CEE" w:rsidRPr="00D91CEE">
        <w:rPr>
          <w:b w:val="0"/>
        </w:rPr>
        <w:t xml:space="preserve"> in exchange for</w:t>
      </w:r>
      <w:r w:rsidR="00D91CEE">
        <w:rPr>
          <w:b w:val="0"/>
        </w:rPr>
        <w:t xml:space="preserve"> a</w:t>
      </w:r>
      <w:r w:rsidR="00D91CEE" w:rsidRPr="00D91CEE">
        <w:rPr>
          <w:b w:val="0"/>
        </w:rPr>
        <w:t xml:space="preserve"> course credit</w:t>
      </w:r>
      <w:r w:rsidR="00567257">
        <w:rPr>
          <w:b w:val="0"/>
        </w:rPr>
        <w:t xml:space="preserve"> after giving their written informed consent</w:t>
      </w:r>
      <w:r w:rsidR="00D91CEE" w:rsidRPr="00D91CEE">
        <w:rPr>
          <w:b w:val="0"/>
        </w:rPr>
        <w:t>. All participants had normal or corrected to normal vision</w:t>
      </w:r>
      <w:bookmarkEnd w:id="1"/>
      <w:r w:rsidR="00D91CEE" w:rsidRPr="00D91CEE">
        <w:rPr>
          <w:b w:val="0"/>
        </w:rPr>
        <w:t>.</w:t>
      </w:r>
    </w:p>
    <w:p w14:paraId="382A6C03" w14:textId="77777777" w:rsidR="006B01E9" w:rsidRDefault="006B01E9" w:rsidP="006B01E9">
      <w:pPr>
        <w:pStyle w:val="NormalSectionStart"/>
      </w:pPr>
    </w:p>
    <w:p w14:paraId="4E7E78D2" w14:textId="69B066F6" w:rsidR="006B01E9" w:rsidRDefault="00766307" w:rsidP="00875239">
      <w:pPr>
        <w:pStyle w:val="Heading3"/>
        <w:rPr>
          <w:b w:val="0"/>
        </w:rPr>
      </w:pPr>
      <w:r>
        <w:t xml:space="preserve">Stimuli, </w:t>
      </w:r>
      <w:r w:rsidR="006B01E9">
        <w:t>Design</w:t>
      </w:r>
      <w:r>
        <w:t>, and Procedure</w:t>
      </w:r>
      <w:r w:rsidR="006B01E9">
        <w:rPr>
          <w:b w:val="0"/>
        </w:rPr>
        <w:t xml:space="preserve"> </w:t>
      </w:r>
      <w:r w:rsidR="00875239" w:rsidRPr="00875239">
        <w:rPr>
          <w:b w:val="0"/>
        </w:rPr>
        <w:t>The design of the experiment was 2 (</w:t>
      </w:r>
      <w:r w:rsidR="00B04DA7" w:rsidRPr="00B04DA7">
        <w:rPr>
          <w:b w:val="0"/>
          <w:highlight w:val="yellow"/>
        </w:rPr>
        <w:t>Gaze Cue</w:t>
      </w:r>
      <w:r w:rsidR="00453113" w:rsidRPr="00453113">
        <w:rPr>
          <w:b w:val="0"/>
          <w:highlight w:val="yellow"/>
        </w:rPr>
        <w:t>ing</w:t>
      </w:r>
      <w:r w:rsidR="00BD5E25">
        <w:rPr>
          <w:b w:val="0"/>
        </w:rPr>
        <w:t xml:space="preserve">: </w:t>
      </w:r>
      <w:r w:rsidR="00B04DA7">
        <w:rPr>
          <w:b w:val="0"/>
        </w:rPr>
        <w:t>congruent</w:t>
      </w:r>
      <w:r w:rsidR="00BD5E25">
        <w:rPr>
          <w:b w:val="0"/>
        </w:rPr>
        <w:t xml:space="preserve"> vs. </w:t>
      </w:r>
      <w:r w:rsidR="00B04DA7">
        <w:rPr>
          <w:b w:val="0"/>
        </w:rPr>
        <w:t>incongruent</w:t>
      </w:r>
      <w:r w:rsidR="00BD5E25">
        <w:rPr>
          <w:b w:val="0"/>
        </w:rPr>
        <w:t>) x 3 (</w:t>
      </w:r>
      <w:r w:rsidR="00B04DA7" w:rsidRPr="00E05804">
        <w:rPr>
          <w:b w:val="0"/>
          <w:highlight w:val="yellow"/>
        </w:rPr>
        <w:t>Action</w:t>
      </w:r>
      <w:r w:rsidR="003F7C47">
        <w:rPr>
          <w:b w:val="0"/>
        </w:rPr>
        <w:t>-outcome</w:t>
      </w:r>
      <w:r w:rsidR="00453113">
        <w:rPr>
          <w:b w:val="0"/>
        </w:rPr>
        <w:t xml:space="preserve"> </w:t>
      </w:r>
      <w:r w:rsidR="00453113" w:rsidRPr="00453113">
        <w:rPr>
          <w:b w:val="0"/>
          <w:highlight w:val="yellow"/>
        </w:rPr>
        <w:t>consistency</w:t>
      </w:r>
      <w:r w:rsidR="00875239" w:rsidRPr="00875239">
        <w:rPr>
          <w:b w:val="0"/>
        </w:rPr>
        <w:t xml:space="preserve">: </w:t>
      </w:r>
      <w:r w:rsidR="00B04DA7">
        <w:rPr>
          <w:b w:val="0"/>
        </w:rPr>
        <w:t>consistent</w:t>
      </w:r>
      <w:r w:rsidR="00875239" w:rsidRPr="00875239">
        <w:rPr>
          <w:b w:val="0"/>
        </w:rPr>
        <w:t xml:space="preserve"> vs. </w:t>
      </w:r>
      <w:r w:rsidR="00B04DA7">
        <w:rPr>
          <w:b w:val="0"/>
        </w:rPr>
        <w:t>inconsistent</w:t>
      </w:r>
      <w:r w:rsidR="00875239" w:rsidRPr="00875239">
        <w:rPr>
          <w:b w:val="0"/>
        </w:rPr>
        <w:t xml:space="preserve"> vs. </w:t>
      </w:r>
      <w:r w:rsidR="00B04DA7">
        <w:rPr>
          <w:b w:val="0"/>
        </w:rPr>
        <w:t>control</w:t>
      </w:r>
      <w:r w:rsidR="00875239" w:rsidRPr="00875239">
        <w:rPr>
          <w:b w:val="0"/>
        </w:rPr>
        <w:t xml:space="preserve">) within-subjects design. </w:t>
      </w:r>
      <w:r w:rsidR="00812CA7">
        <w:rPr>
          <w:b w:val="0"/>
        </w:rPr>
        <w:t xml:space="preserve">The face was generated by </w:t>
      </w:r>
      <w:proofErr w:type="spellStart"/>
      <w:r w:rsidR="00812CA7">
        <w:rPr>
          <w:b w:val="0"/>
        </w:rPr>
        <w:t>FaceGen</w:t>
      </w:r>
      <w:proofErr w:type="spellEnd"/>
      <w:r w:rsidR="00812CA7">
        <w:rPr>
          <w:b w:val="0"/>
        </w:rPr>
        <w:t xml:space="preserve"> program (</w:t>
      </w:r>
      <w:hyperlink r:id="rId11" w:history="1">
        <w:r w:rsidR="00A06BDE" w:rsidRPr="003139B1">
          <w:rPr>
            <w:rStyle w:val="Hyperlink"/>
            <w:b w:val="0"/>
          </w:rPr>
          <w:t>https:</w:t>
        </w:r>
        <w:r w:rsidR="00A06BDE" w:rsidRPr="003139B1">
          <w:rPr>
            <w:rStyle w:val="Hyperlink"/>
            <w:b w:val="0"/>
          </w:rPr>
          <w:t>/</w:t>
        </w:r>
        <w:r w:rsidR="00A06BDE" w:rsidRPr="003139B1">
          <w:rPr>
            <w:rStyle w:val="Hyperlink"/>
            <w:b w:val="0"/>
          </w:rPr>
          <w:t>/facegen.com/</w:t>
        </w:r>
      </w:hyperlink>
      <w:r w:rsidR="00A06BDE">
        <w:rPr>
          <w:b w:val="0"/>
        </w:rPr>
        <w:t xml:space="preserve">). </w:t>
      </w:r>
      <w:r w:rsidR="00812CA7">
        <w:rPr>
          <w:b w:val="0"/>
        </w:rPr>
        <w:t xml:space="preserve"> </w:t>
      </w:r>
      <w:r w:rsidR="00A845A9">
        <w:rPr>
          <w:b w:val="0"/>
        </w:rPr>
        <w:t>The face subtended around 13</w:t>
      </w:r>
      <w:r w:rsidR="00A845A9" w:rsidRPr="00875239">
        <w:rPr>
          <w:b w:val="0"/>
        </w:rPr>
        <w:sym w:font="Symbol" w:char="F0B0"/>
      </w:r>
      <w:r w:rsidR="00A845A9">
        <w:rPr>
          <w:b w:val="0"/>
        </w:rPr>
        <w:t xml:space="preserve"> of visual angle in height and 6</w:t>
      </w:r>
      <w:r w:rsidR="00A845A9" w:rsidRPr="00875239">
        <w:rPr>
          <w:b w:val="0"/>
        </w:rPr>
        <w:sym w:font="Symbol" w:char="F0B0"/>
      </w:r>
      <w:r w:rsidR="00A845A9">
        <w:rPr>
          <w:b w:val="0"/>
        </w:rPr>
        <w:t xml:space="preserve"> - in width, centered at the screen. </w:t>
      </w:r>
      <w:r w:rsidR="004F5947">
        <w:rPr>
          <w:b w:val="0"/>
        </w:rPr>
        <w:t>From</w:t>
      </w:r>
      <w:r w:rsidR="00A845A9">
        <w:rPr>
          <w:b w:val="0"/>
        </w:rPr>
        <w:t xml:space="preserve"> both sides of the face (5</w:t>
      </w:r>
      <w:r w:rsidR="00A845A9" w:rsidRPr="00875239">
        <w:rPr>
          <w:b w:val="0"/>
        </w:rPr>
        <w:sym w:font="Symbol" w:char="F0B0"/>
      </w:r>
      <w:r w:rsidR="00015E4B">
        <w:rPr>
          <w:b w:val="0"/>
        </w:rPr>
        <w:t xml:space="preserve"> to the nearest edge</w:t>
      </w:r>
      <w:r w:rsidR="00A845A9">
        <w:rPr>
          <w:b w:val="0"/>
        </w:rPr>
        <w:t>) squares were presented subtending 3.5</w:t>
      </w:r>
      <w:r w:rsidR="00A845A9" w:rsidRPr="00875239">
        <w:rPr>
          <w:b w:val="0"/>
        </w:rPr>
        <w:sym w:font="Symbol" w:char="F0B0"/>
      </w:r>
      <w:r w:rsidR="00434732">
        <w:rPr>
          <w:b w:val="0"/>
        </w:rPr>
        <w:t>, positioned at the eye</w:t>
      </w:r>
      <w:r w:rsidR="0030038E">
        <w:rPr>
          <w:b w:val="0"/>
        </w:rPr>
        <w:t xml:space="preserve"> central</w:t>
      </w:r>
      <w:r w:rsidR="00434732">
        <w:rPr>
          <w:b w:val="0"/>
        </w:rPr>
        <w:t xml:space="preserve"> ‘line’</w:t>
      </w:r>
      <w:r w:rsidR="00A845A9">
        <w:rPr>
          <w:b w:val="0"/>
        </w:rPr>
        <w:t>. Target</w:t>
      </w:r>
      <w:r w:rsidR="00875239">
        <w:rPr>
          <w:b w:val="0"/>
        </w:rPr>
        <w:t xml:space="preserve"> </w:t>
      </w:r>
      <w:r w:rsidR="00C14434">
        <w:rPr>
          <w:b w:val="0"/>
        </w:rPr>
        <w:t>colors were violet</w:t>
      </w:r>
      <w:r w:rsidR="00F822D2">
        <w:rPr>
          <w:b w:val="0"/>
        </w:rPr>
        <w:t xml:space="preserve"> (</w:t>
      </w:r>
      <w:proofErr w:type="spellStart"/>
      <w:r w:rsidR="00F822D2">
        <w:rPr>
          <w:b w:val="0"/>
        </w:rPr>
        <w:t>BlueViolet</w:t>
      </w:r>
      <w:proofErr w:type="spellEnd"/>
      <w:r w:rsidR="00F822D2">
        <w:rPr>
          <w:b w:val="0"/>
        </w:rPr>
        <w:t>, RGB</w:t>
      </w:r>
      <w:r w:rsidR="00F822D2" w:rsidRPr="00F822D2">
        <w:rPr>
          <w:b w:val="0"/>
        </w:rPr>
        <w:t xml:space="preserve">: </w:t>
      </w:r>
      <w:r w:rsidR="00F822D2" w:rsidRPr="00F822D2">
        <w:rPr>
          <w:b w:val="0"/>
          <w:color w:val="000000"/>
        </w:rPr>
        <w:t>138, 43, 226</w:t>
      </w:r>
      <w:r w:rsidR="00F822D2">
        <w:rPr>
          <w:b w:val="0"/>
        </w:rPr>
        <w:t>)</w:t>
      </w:r>
      <w:r w:rsidR="00C14434">
        <w:rPr>
          <w:b w:val="0"/>
        </w:rPr>
        <w:t xml:space="preserve"> or </w:t>
      </w:r>
      <w:r w:rsidR="00F822D2">
        <w:rPr>
          <w:b w:val="0"/>
        </w:rPr>
        <w:t>magenta</w:t>
      </w:r>
      <w:r w:rsidR="00C14434">
        <w:rPr>
          <w:b w:val="0"/>
        </w:rPr>
        <w:t xml:space="preserve"> </w:t>
      </w:r>
      <w:r w:rsidR="00F822D2">
        <w:rPr>
          <w:b w:val="0"/>
        </w:rPr>
        <w:t xml:space="preserve">(Magenta, RGB: </w:t>
      </w:r>
      <w:r w:rsidR="00F822D2" w:rsidRPr="00F822D2">
        <w:rPr>
          <w:b w:val="0"/>
          <w:color w:val="000000"/>
        </w:rPr>
        <w:t>255, 0, 255</w:t>
      </w:r>
      <w:r w:rsidR="00F822D2">
        <w:rPr>
          <w:b w:val="0"/>
        </w:rPr>
        <w:t xml:space="preserve">) </w:t>
      </w:r>
      <w:r w:rsidR="00C14434">
        <w:rPr>
          <w:b w:val="0"/>
        </w:rPr>
        <w:t>filled in one of the squares as soon as the eye movement was co</w:t>
      </w:r>
      <w:r w:rsidR="00610FA2">
        <w:rPr>
          <w:b w:val="0"/>
        </w:rPr>
        <w:t>mpleted.</w:t>
      </w:r>
      <w:r w:rsidR="00171C55">
        <w:rPr>
          <w:b w:val="0"/>
        </w:rPr>
        <w:t xml:space="preserve"> </w:t>
      </w:r>
      <w:r w:rsidR="00171C55" w:rsidRPr="00A94681">
        <w:rPr>
          <w:b w:val="0"/>
          <w:highlight w:val="yellow"/>
        </w:rPr>
        <w:t>Figure</w:t>
      </w:r>
      <w:r w:rsidR="00171C55">
        <w:rPr>
          <w:b w:val="0"/>
        </w:rPr>
        <w:t xml:space="preserve"> 1 present</w:t>
      </w:r>
      <w:r w:rsidR="008D56E6">
        <w:rPr>
          <w:b w:val="0"/>
        </w:rPr>
        <w:t>s a trial example</w:t>
      </w:r>
      <w:r w:rsidR="00171C55">
        <w:rPr>
          <w:b w:val="0"/>
        </w:rPr>
        <w:t>.</w:t>
      </w:r>
    </w:p>
    <w:p w14:paraId="45C904A8" w14:textId="77777777" w:rsidR="0041661B" w:rsidRDefault="0041661B" w:rsidP="0041661B"/>
    <w:p w14:paraId="100E1B2E" w14:textId="77777777" w:rsidR="0041661B" w:rsidRDefault="0041661B" w:rsidP="0041661B">
      <w:pPr>
        <w:keepNext/>
      </w:pPr>
      <w:r>
        <w:rPr>
          <w:noProof/>
        </w:rPr>
        <w:drawing>
          <wp:inline distT="0" distB="0" distL="0" distR="0" wp14:anchorId="04AC39E1" wp14:editId="0A08EF23">
            <wp:extent cx="3086100" cy="2210435"/>
            <wp:effectExtent l="0" t="0" r="0" b="0"/>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6100" cy="2210435"/>
                    </a:xfrm>
                    <a:prstGeom prst="rect">
                      <a:avLst/>
                    </a:prstGeom>
                    <a:noFill/>
                    <a:ln>
                      <a:noFill/>
                    </a:ln>
                  </pic:spPr>
                </pic:pic>
              </a:graphicData>
            </a:graphic>
          </wp:inline>
        </w:drawing>
      </w:r>
    </w:p>
    <w:p w14:paraId="617E496A" w14:textId="11C9F325" w:rsidR="0041661B" w:rsidRDefault="0041661B" w:rsidP="0041661B">
      <w:pPr>
        <w:pStyle w:val="Caption"/>
      </w:pPr>
      <w:r>
        <w:t xml:space="preserve">Figure </w:t>
      </w:r>
      <w:r>
        <w:fldChar w:fldCharType="begin"/>
      </w:r>
      <w:r>
        <w:instrText xml:space="preserve"> SEQ Figure \* ARABIC </w:instrText>
      </w:r>
      <w:r>
        <w:fldChar w:fldCharType="separate"/>
      </w:r>
      <w:r>
        <w:rPr>
          <w:noProof/>
        </w:rPr>
        <w:t>1</w:t>
      </w:r>
      <w:r>
        <w:fldChar w:fldCharType="end"/>
      </w:r>
      <w:r>
        <w:t>:</w:t>
      </w:r>
      <w:r w:rsidRPr="007529F3">
        <w:t xml:space="preserve"> Trial example</w:t>
      </w:r>
    </w:p>
    <w:p w14:paraId="4BCD0D22" w14:textId="77777777" w:rsidR="0041661B" w:rsidRPr="0041661B" w:rsidRDefault="0041661B" w:rsidP="0041661B"/>
    <w:p w14:paraId="0CA41268" w14:textId="22DBE039" w:rsidR="00522F4F" w:rsidRPr="00522F4F" w:rsidRDefault="00522F4F" w:rsidP="006C779B">
      <w:r w:rsidRPr="00E6040A">
        <w:t xml:space="preserve">Stimuli presentation and </w:t>
      </w:r>
      <w:r w:rsidR="00D55E6A">
        <w:t>response collection</w:t>
      </w:r>
      <w:r w:rsidRPr="00E6040A">
        <w:t xml:space="preserve"> was controlled by E-prime 2.0 software (Schneider, Eschman, &amp; Zuccolotto, 2002). Participants were </w:t>
      </w:r>
      <w:r w:rsidR="00986F23" w:rsidRPr="00E6040A">
        <w:t>tested</w:t>
      </w:r>
      <w:r w:rsidRPr="00E6040A">
        <w:t xml:space="preserve"> individual</w:t>
      </w:r>
      <w:r w:rsidR="00986F23" w:rsidRPr="00E6040A">
        <w:t>ly</w:t>
      </w:r>
      <w:r w:rsidRPr="00E6040A">
        <w:t xml:space="preserve"> </w:t>
      </w:r>
      <w:r w:rsidR="00986F23" w:rsidRPr="00E6040A">
        <w:t xml:space="preserve">in </w:t>
      </w:r>
      <w:r w:rsidR="0030038E">
        <w:t xml:space="preserve">a </w:t>
      </w:r>
      <w:r w:rsidR="00986F23" w:rsidRPr="00E6040A">
        <w:t>sound-proof booth</w:t>
      </w:r>
      <w:r w:rsidRPr="00E6040A">
        <w:t xml:space="preserve"> in front of 22-inch monitor with resolution </w:t>
      </w:r>
      <w:r w:rsidR="00176F85">
        <w:t xml:space="preserve">of </w:t>
      </w:r>
      <w:r w:rsidR="00C83E3A">
        <w:t>1920x</w:t>
      </w:r>
      <w:r w:rsidR="002669FD">
        <w:t>108</w:t>
      </w:r>
      <w:r w:rsidRPr="00E6040A">
        <w:t>0 pixels</w:t>
      </w:r>
      <w:r w:rsidR="00E0742C" w:rsidRPr="00E6040A">
        <w:t xml:space="preserve"> and </w:t>
      </w:r>
      <w:r w:rsidRPr="00E6040A">
        <w:t xml:space="preserve">refresh rate </w:t>
      </w:r>
      <w:r w:rsidR="006272A5">
        <w:t xml:space="preserve">of </w:t>
      </w:r>
      <w:r w:rsidRPr="00E6040A">
        <w:t>50</w:t>
      </w:r>
      <w:r w:rsidR="006272A5">
        <w:t xml:space="preserve"> </w:t>
      </w:r>
      <w:r w:rsidRPr="00E6040A">
        <w:t xml:space="preserve">Hz. </w:t>
      </w:r>
      <w:r w:rsidR="00576907">
        <w:t>They</w:t>
      </w:r>
      <w:r w:rsidR="00E6040A" w:rsidRPr="00E6040A">
        <w:t xml:space="preserve"> were positioned at around </w:t>
      </w:r>
      <w:r w:rsidR="00A06BDE">
        <w:t>60</w:t>
      </w:r>
      <w:r w:rsidR="00E6040A" w:rsidRPr="00E6040A">
        <w:t xml:space="preserve"> </w:t>
      </w:r>
      <w:r w:rsidRPr="00E6040A">
        <w:t>cm</w:t>
      </w:r>
      <w:r w:rsidR="00E6040A" w:rsidRPr="00E6040A">
        <w:t xml:space="preserve"> from the screen</w:t>
      </w:r>
      <w:r w:rsidRPr="00E6040A">
        <w:t xml:space="preserve">. </w:t>
      </w:r>
      <w:r w:rsidR="00E6040A" w:rsidRPr="00E6040A">
        <w:t xml:space="preserve">Participants were asked to </w:t>
      </w:r>
      <w:r w:rsidR="003D0FE7">
        <w:t>perform a dual task:</w:t>
      </w:r>
      <w:r w:rsidR="00D91260">
        <w:t xml:space="preserve">  First task was to </w:t>
      </w:r>
      <w:r w:rsidR="003D0FE7">
        <w:t>either press</w:t>
      </w:r>
      <w:r w:rsidR="00D91260">
        <w:t>ing</w:t>
      </w:r>
      <w:r w:rsidR="003D0FE7">
        <w:t xml:space="preserve"> a button of their choice (left vs right) to initiate gaze movement or to refrain</w:t>
      </w:r>
      <w:r w:rsidR="00D91260">
        <w:t xml:space="preserve"> from pressing a button</w:t>
      </w:r>
      <w:r w:rsidR="003D0FE7">
        <w:t xml:space="preserve"> and to observe the gaze movements to the left or right. To initiate gaze </w:t>
      </w:r>
      <w:r w:rsidR="003D0FE7">
        <w:lastRenderedPageBreak/>
        <w:t xml:space="preserve">movement participants were asked to press either button ‘6’ (right) or ‘4’ (left) on an extended keyboard: that is, the buttons were positioned on the right of the keyboard, and the participants were asked to press buttons using their right hand. </w:t>
      </w:r>
      <w:r w:rsidR="00B3021A">
        <w:t xml:space="preserve">The second task was color discrimination: as soon as </w:t>
      </w:r>
      <w:r w:rsidR="004601C7">
        <w:t xml:space="preserve">the </w:t>
      </w:r>
      <w:r w:rsidR="00B3021A">
        <w:t>gaze movement was over, one of the squares was colored. Participants were</w:t>
      </w:r>
      <w:r w:rsidR="004838F6">
        <w:t xml:space="preserve"> asked</w:t>
      </w:r>
      <w:r w:rsidR="00B3021A">
        <w:t xml:space="preserve"> </w:t>
      </w:r>
      <w:r w:rsidR="00E6040A" w:rsidRPr="00E6040A">
        <w:t xml:space="preserve">to </w:t>
      </w:r>
      <w:r w:rsidR="00097E57">
        <w:t>discriminate between</w:t>
      </w:r>
      <w:r w:rsidR="00E6040A" w:rsidRPr="00E6040A">
        <w:t xml:space="preserve"> </w:t>
      </w:r>
      <w:r w:rsidR="00B3021A">
        <w:t>color</w:t>
      </w:r>
      <w:r w:rsidR="00097E57">
        <w:t>s</w:t>
      </w:r>
      <w:r w:rsidR="0083739F">
        <w:t xml:space="preserve"> (</w:t>
      </w:r>
      <w:r w:rsidR="00B3021A">
        <w:t>violet</w:t>
      </w:r>
      <w:r w:rsidR="0083739F">
        <w:t>/</w:t>
      </w:r>
      <w:r w:rsidR="00B3021A">
        <w:t>magenta</w:t>
      </w:r>
      <w:r w:rsidR="0083739F">
        <w:t>)</w:t>
      </w:r>
      <w:r w:rsidR="00E6040A" w:rsidRPr="00E6040A">
        <w:t xml:space="preserve"> as fast and as accurately as possible pressing a corresponding button on the</w:t>
      </w:r>
      <w:r w:rsidRPr="00E6040A">
        <w:t xml:space="preserve"> computer keyboard (“</w:t>
      </w:r>
      <w:r w:rsidR="00B3021A">
        <w:t>a</w:t>
      </w:r>
      <w:r w:rsidRPr="00E6040A">
        <w:t xml:space="preserve">” </w:t>
      </w:r>
      <w:proofErr w:type="gramStart"/>
      <w:r w:rsidRPr="00E6040A">
        <w:t>or ”</w:t>
      </w:r>
      <w:r w:rsidR="00B3021A">
        <w:t>d</w:t>
      </w:r>
      <w:proofErr w:type="gramEnd"/>
      <w:r w:rsidRPr="00E6040A">
        <w:t xml:space="preserve">”) with </w:t>
      </w:r>
      <w:r w:rsidR="00B3021A">
        <w:t>their left</w:t>
      </w:r>
      <w:r w:rsidRPr="00E6040A">
        <w:t xml:space="preserve"> hand. </w:t>
      </w:r>
      <w:r w:rsidRPr="007A723C">
        <w:t xml:space="preserve">Response mapping was counterbalanced between </w:t>
      </w:r>
      <w:r w:rsidR="00E6040A" w:rsidRPr="007A723C">
        <w:t>participants</w:t>
      </w:r>
      <w:r w:rsidRPr="007A723C">
        <w:t xml:space="preserve">. </w:t>
      </w:r>
      <w:r w:rsidR="005D55F6">
        <w:t>A</w:t>
      </w:r>
      <w:r w:rsidRPr="007A723C">
        <w:t xml:space="preserve"> trial </w:t>
      </w:r>
      <w:r w:rsidR="005D55F6">
        <w:t>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w:t>
      </w:r>
      <w:r w:rsidR="00F00415">
        <w:t xml:space="preserve"> from each side of the face</w:t>
      </w:r>
      <w:r w:rsidR="005D55F6">
        <w:t xml:space="preserve"> appear</w:t>
      </w:r>
      <w:r w:rsidR="00ED0C8D">
        <w:t>ed</w:t>
      </w:r>
      <w:r w:rsidR="005D55F6">
        <w:t xml:space="preserve">. </w:t>
      </w:r>
      <w:r w:rsidR="00DC107D">
        <w:t>If the cross was red,</w:t>
      </w:r>
      <w:r w:rsidR="005D55F6">
        <w:t xml:space="preserve"> </w:t>
      </w:r>
      <w:r w:rsidR="00DC107D">
        <w:t>participants would</w:t>
      </w:r>
      <w:r w:rsidR="008F5032">
        <w:t xml:space="preserve"> wait</w:t>
      </w:r>
      <w:r w:rsidR="005D55F6">
        <w:t xml:space="preserve"> for a face to appear</w:t>
      </w:r>
      <w:r w:rsidR="008C7C6B">
        <w:t xml:space="preserve"> without pressing left/right button</w:t>
      </w:r>
      <w:r w:rsidR="005D55F6">
        <w:t xml:space="preserve">. </w:t>
      </w:r>
      <w:r w:rsidR="001751D4">
        <w:t xml:space="preserve">The red cross </w:t>
      </w:r>
      <w:r w:rsidR="004B5D8F">
        <w:t>stayed</w:t>
      </w:r>
      <w:r w:rsidR="001751D4">
        <w:t xml:space="preserve"> on the screen for a random time </w:t>
      </w:r>
      <w:r w:rsidR="008F5032">
        <w:t>between 500</w:t>
      </w:r>
      <w:r w:rsidR="001751D4">
        <w:t xml:space="preserve"> and 1700 </w:t>
      </w:r>
      <w:proofErr w:type="spellStart"/>
      <w:r w:rsidR="001751D4">
        <w:t>ms.</w:t>
      </w:r>
      <w:proofErr w:type="spellEnd"/>
      <w:r w:rsidR="001751D4">
        <w:t xml:space="preserve"> </w:t>
      </w:r>
      <w:r w:rsidR="006C779B">
        <w:t>Immediately after the face appearance the eyes</w:t>
      </w:r>
      <w:r w:rsidR="009B06D8">
        <w:t xml:space="preserve"> moved</w:t>
      </w:r>
      <w:r w:rsidR="006C779B">
        <w:t xml:space="preserve"> either left or right, towards one of the squares. The movement took 350 </w:t>
      </w:r>
      <w:proofErr w:type="spellStart"/>
      <w:r w:rsidR="006C779B">
        <w:t>ms.</w:t>
      </w:r>
      <w:proofErr w:type="spellEnd"/>
      <w:r w:rsidR="006C779B">
        <w:t xml:space="preserve"> In case of movement initiation by a participant, the eye movement could be either consistent with the intended direction of the participants or inconsistent. After the eyes reach their ultimate left or right position, one of the side white squares changed </w:t>
      </w:r>
      <w:r w:rsidR="00E7044C">
        <w:t>its</w:t>
      </w:r>
      <w:r w:rsidR="006C779B">
        <w:t xml:space="preserve"> color into violet or magenta.  P</w:t>
      </w:r>
      <w:r w:rsidRPr="007A723C">
        <w:t>articipants had 1500</w:t>
      </w:r>
      <w:r w:rsidR="00544529" w:rsidRPr="007A723C">
        <w:t xml:space="preserve"> </w:t>
      </w:r>
      <w:proofErr w:type="spellStart"/>
      <w:r w:rsidRPr="007A723C">
        <w:t>ms</w:t>
      </w:r>
      <w:proofErr w:type="spellEnd"/>
      <w:r w:rsidRPr="007A723C">
        <w:t xml:space="preserve"> to respond</w:t>
      </w:r>
      <w:r w:rsidR="001F182E">
        <w:t xml:space="preserve"> using their left hand</w:t>
      </w:r>
      <w:r w:rsidR="00340118">
        <w:t>. The i</w:t>
      </w:r>
      <w:r w:rsidRPr="007A723C">
        <w:t>nter-trial interval was 1000</w:t>
      </w:r>
      <w:r w:rsidR="00544529" w:rsidRPr="007A723C">
        <w:t xml:space="preserve"> </w:t>
      </w:r>
      <w:proofErr w:type="spellStart"/>
      <w:r w:rsidRPr="007A723C">
        <w:t>ms</w:t>
      </w:r>
      <w:r w:rsidR="00544529" w:rsidRPr="007A723C">
        <w:t>.</w:t>
      </w:r>
      <w:proofErr w:type="spellEnd"/>
    </w:p>
    <w:p w14:paraId="11948499" w14:textId="4BAF2BA1" w:rsidR="00522F4F" w:rsidRPr="00522F4F" w:rsidRDefault="00522F4F" w:rsidP="00522F4F">
      <w:r w:rsidRPr="002A4B74">
        <w:t xml:space="preserve">Participants first went through a practice </w:t>
      </w:r>
      <w:r w:rsidR="005E2B2A">
        <w:t xml:space="preserve">block that </w:t>
      </w:r>
      <w:r w:rsidRPr="002A4B74">
        <w:t>consisted of 1</w:t>
      </w:r>
      <w:r w:rsidR="005E2B2A">
        <w:t>6</w:t>
      </w:r>
      <w:r w:rsidRPr="002A4B74">
        <w:t xml:space="preserve"> </w:t>
      </w:r>
      <w:r w:rsidR="005E2B2A">
        <w:t>trials.</w:t>
      </w:r>
      <w:r w:rsidRPr="002A4B74">
        <w:t xml:space="preserve"> The exp</w:t>
      </w:r>
      <w:r w:rsidR="00041973" w:rsidRPr="002A4B74">
        <w:t xml:space="preserve">erimental procedure </w:t>
      </w:r>
      <w:r w:rsidR="002A4B74">
        <w:t>consisted of</w:t>
      </w:r>
      <w:r w:rsidR="00041973" w:rsidRPr="002A4B74">
        <w:t xml:space="preserve"> </w:t>
      </w:r>
      <w:r w:rsidR="005E2B2A">
        <w:t>168</w:t>
      </w:r>
      <w:r w:rsidRPr="002A4B74">
        <w:t xml:space="preserve"> trials</w:t>
      </w:r>
      <w:r w:rsidR="00F42E6C">
        <w:t xml:space="preserve"> (2</w:t>
      </w:r>
      <w:r w:rsidR="005E2B2A">
        <w:t>8</w:t>
      </w:r>
      <w:r w:rsidR="00F42E6C">
        <w:t xml:space="preserve"> trials per condition</w:t>
      </w:r>
      <w:r w:rsidR="00F42E6C" w:rsidRPr="006D2717">
        <w:t>)</w:t>
      </w:r>
      <w:r w:rsidRPr="006D2717">
        <w:t>.</w:t>
      </w:r>
      <w:r w:rsidR="002A4B74" w:rsidRPr="006D2717">
        <w:t xml:space="preserve"> </w:t>
      </w:r>
      <w:r w:rsidRPr="006D2717">
        <w:t xml:space="preserve">Trials </w:t>
      </w:r>
      <w:r w:rsidR="00997E80" w:rsidRPr="006D2717">
        <w:t xml:space="preserve">were </w:t>
      </w:r>
      <w:r w:rsidR="002E41A4" w:rsidRPr="006D2717">
        <w:t xml:space="preserve">presented </w:t>
      </w:r>
      <w:proofErr w:type="spellStart"/>
      <w:r w:rsidR="006D2717" w:rsidRPr="006D2717">
        <w:t>pseudo</w:t>
      </w:r>
      <w:r w:rsidR="002E41A4" w:rsidRPr="006D2717">
        <w:t>randomly</w:t>
      </w:r>
      <w:proofErr w:type="spellEnd"/>
      <w:r w:rsidR="006D2717" w:rsidRPr="006D2717">
        <w:t xml:space="preserve"> so that there were no more than two consecutive trials with the</w:t>
      </w:r>
      <w:r w:rsidR="002E41A4" w:rsidRPr="006D2717">
        <w:t xml:space="preserve"> </w:t>
      </w:r>
      <w:r w:rsidR="006D2717" w:rsidRPr="006D2717">
        <w:t>same condition and color</w:t>
      </w:r>
      <w:r w:rsidR="002E41A4" w:rsidRPr="006D2717">
        <w:t>.</w:t>
      </w:r>
      <w:r w:rsidR="00FF2818">
        <w:t xml:space="preserve"> </w:t>
      </w:r>
      <w:r w:rsidR="00041973" w:rsidRPr="002A4B74">
        <w:t xml:space="preserve"> The experiment took around </w:t>
      </w:r>
      <w:r w:rsidR="00555C7A">
        <w:t>10-15</w:t>
      </w:r>
      <w:r w:rsidRPr="002A4B74">
        <w:t xml:space="preserve"> minutes to </w:t>
      </w:r>
      <w:r w:rsidR="00041973" w:rsidRPr="002A4B74">
        <w:t>complete</w:t>
      </w:r>
      <w:r w:rsidRPr="002A4B74">
        <w:t>.</w:t>
      </w:r>
    </w:p>
    <w:p w14:paraId="54960D57" w14:textId="30D66EE2" w:rsidR="006B01E9" w:rsidRDefault="006B01E9" w:rsidP="006B01E9">
      <w:pPr>
        <w:pStyle w:val="Heading2"/>
      </w:pPr>
      <w:r>
        <w:t>Results and Discussion</w:t>
      </w:r>
    </w:p>
    <w:p w14:paraId="6430218A" w14:textId="55EA9228" w:rsidR="00454B89" w:rsidRPr="00454B89" w:rsidRDefault="00454B89" w:rsidP="00446326">
      <w:pPr>
        <w:ind w:firstLine="0"/>
        <w:rPr>
          <w:rFonts w:eastAsia="Times New Roman"/>
        </w:rPr>
      </w:pPr>
      <w:r>
        <w:rPr>
          <w:rFonts w:eastAsia="Times New Roman"/>
        </w:rPr>
        <w:t xml:space="preserve">Data of </w:t>
      </w:r>
      <w:r w:rsidR="009B2016">
        <w:rPr>
          <w:rFonts w:eastAsia="Times New Roman"/>
        </w:rPr>
        <w:t>ten</w:t>
      </w:r>
      <w:r w:rsidRPr="00454B89">
        <w:rPr>
          <w:rFonts w:eastAsia="Times New Roman"/>
        </w:rPr>
        <w:t xml:space="preserve"> participants were </w:t>
      </w:r>
      <w:r>
        <w:rPr>
          <w:rFonts w:eastAsia="Times New Roman"/>
        </w:rPr>
        <w:t>excluded</w:t>
      </w:r>
      <w:r w:rsidR="00406EB0">
        <w:rPr>
          <w:rFonts w:eastAsia="Times New Roman"/>
        </w:rPr>
        <w:t xml:space="preserve"> due to low accuracy (&lt;80%)</w:t>
      </w:r>
      <w:r w:rsidR="00E66B0F">
        <w:rPr>
          <w:rFonts w:eastAsia="Times New Roman"/>
        </w:rPr>
        <w:t xml:space="preserve"> or failure </w:t>
      </w:r>
      <w:r w:rsidR="0093079B">
        <w:rPr>
          <w:rFonts w:eastAsia="Times New Roman"/>
        </w:rPr>
        <w:t xml:space="preserve">to </w:t>
      </w:r>
      <w:r w:rsidR="009B2016">
        <w:rPr>
          <w:rFonts w:eastAsia="Times New Roman"/>
        </w:rPr>
        <w:t>follow the instruction</w:t>
      </w:r>
      <w:r>
        <w:rPr>
          <w:rFonts w:eastAsia="Times New Roman"/>
        </w:rPr>
        <w:t>.</w:t>
      </w:r>
      <w:r w:rsidRPr="00454B89">
        <w:rPr>
          <w:rFonts w:eastAsia="Times New Roman"/>
        </w:rPr>
        <w:t xml:space="preserve"> </w:t>
      </w:r>
      <w:r w:rsidR="00FE2ECC">
        <w:rPr>
          <w:rFonts w:eastAsia="Times New Roman"/>
        </w:rPr>
        <w:t xml:space="preserve">Data </w:t>
      </w:r>
      <w:r w:rsidR="00406EB0">
        <w:rPr>
          <w:rFonts w:eastAsia="Times New Roman"/>
        </w:rPr>
        <w:t xml:space="preserve">of </w:t>
      </w:r>
      <w:r w:rsidR="00802C1A">
        <w:rPr>
          <w:rFonts w:eastAsia="Times New Roman"/>
        </w:rPr>
        <w:t>two</w:t>
      </w:r>
      <w:r w:rsidR="00C00D27">
        <w:rPr>
          <w:rFonts w:eastAsia="Times New Roman"/>
        </w:rPr>
        <w:t xml:space="preserve"> </w:t>
      </w:r>
      <w:r w:rsidR="00406EB0">
        <w:rPr>
          <w:rFonts w:eastAsia="Times New Roman"/>
        </w:rPr>
        <w:t>participants were excluded si</w:t>
      </w:r>
      <w:r w:rsidR="00802C1A">
        <w:rPr>
          <w:rFonts w:eastAsia="Times New Roman"/>
        </w:rPr>
        <w:t>nce they have complained about task difficulty. Finally, data</w:t>
      </w:r>
      <w:r w:rsidR="00A71A64">
        <w:rPr>
          <w:rFonts w:eastAsia="Times New Roman"/>
        </w:rPr>
        <w:t xml:space="preserve"> of</w:t>
      </w:r>
      <w:r w:rsidR="00802C1A">
        <w:rPr>
          <w:rFonts w:eastAsia="Times New Roman"/>
        </w:rPr>
        <w:t xml:space="preserve"> </w:t>
      </w:r>
      <w:r w:rsidR="009B2016">
        <w:rPr>
          <w:rFonts w:eastAsia="Times New Roman"/>
        </w:rPr>
        <w:t>seven</w:t>
      </w:r>
      <w:r w:rsidR="00802C1A">
        <w:rPr>
          <w:rFonts w:eastAsia="Times New Roman"/>
        </w:rPr>
        <w:t xml:space="preserve"> participants were exclud</w:t>
      </w:r>
      <w:r w:rsidR="00ED3943">
        <w:rPr>
          <w:rFonts w:eastAsia="Times New Roman"/>
        </w:rPr>
        <w:t>ed due to very long mean RT</w:t>
      </w:r>
      <w:r w:rsidR="00B13356">
        <w:rPr>
          <w:rFonts w:eastAsia="Times New Roman"/>
        </w:rPr>
        <w:t xml:space="preserve"> comparing to </w:t>
      </w:r>
      <w:r w:rsidR="00854D50">
        <w:rPr>
          <w:rFonts w:eastAsia="Times New Roman"/>
        </w:rPr>
        <w:t>means of other participants</w:t>
      </w:r>
      <w:r w:rsidR="00ED3943">
        <w:rPr>
          <w:rFonts w:eastAsia="Times New Roman"/>
        </w:rPr>
        <w:t xml:space="preserve"> (&gt;700 </w:t>
      </w:r>
      <w:proofErr w:type="spellStart"/>
      <w:r w:rsidR="00ED3943">
        <w:rPr>
          <w:rFonts w:eastAsia="Times New Roman"/>
        </w:rPr>
        <w:t>ms</w:t>
      </w:r>
      <w:proofErr w:type="spellEnd"/>
      <w:r w:rsidR="00ED3943">
        <w:rPr>
          <w:rFonts w:eastAsia="Times New Roman"/>
        </w:rPr>
        <w:t>)</w:t>
      </w:r>
      <w:r w:rsidR="00802C1A">
        <w:rPr>
          <w:rFonts w:eastAsia="Times New Roman"/>
        </w:rPr>
        <w:t>.</w:t>
      </w:r>
      <w:r w:rsidR="000D2E72">
        <w:rPr>
          <w:rFonts w:eastAsia="Times New Roman"/>
        </w:rPr>
        <w:t xml:space="preserve"> </w:t>
      </w:r>
      <w:r w:rsidR="000D2E72">
        <w:t>A post-hoc power analysis indicated that with the remaining sample size (24 participants) our experiment had sufficient power to detect even a small effect (power = 0.91 for an effect size f = 0.25). The post-hoc power analysis was conducted using G*Power 3.1.9.6 (</w:t>
      </w:r>
      <w:hyperlink r:id="rId13" w:anchor="bibr5-20416695221095884" w:history="1">
        <w:r w:rsidR="000D2E72">
          <w:rPr>
            <w:rStyle w:val="Hyperlink"/>
          </w:rPr>
          <w:t xml:space="preserve">Faul, </w:t>
        </w:r>
        <w:proofErr w:type="spellStart"/>
        <w:r w:rsidR="000D2E72">
          <w:rPr>
            <w:rStyle w:val="Hyperlink"/>
          </w:rPr>
          <w:t>Erdfelder</w:t>
        </w:r>
        <w:proofErr w:type="spellEnd"/>
        <w:r w:rsidR="000D2E72">
          <w:rPr>
            <w:rStyle w:val="Hyperlink"/>
          </w:rPr>
          <w:t>, Lang, &amp; Buchn</w:t>
        </w:r>
        <w:r w:rsidR="000D2E72">
          <w:rPr>
            <w:rStyle w:val="Hyperlink"/>
          </w:rPr>
          <w:t>e</w:t>
        </w:r>
        <w:r w:rsidR="000D2E72">
          <w:rPr>
            <w:rStyle w:val="Hyperlink"/>
          </w:rPr>
          <w:t>r, 2007</w:t>
        </w:r>
      </w:hyperlink>
      <w:r w:rsidR="000D2E72">
        <w:t>).</w:t>
      </w:r>
    </w:p>
    <w:p w14:paraId="1E2820AF" w14:textId="22B61EFF" w:rsidR="00467CF1" w:rsidRDefault="00C00D27" w:rsidP="00454B89">
      <w:pPr>
        <w:rPr>
          <w:rFonts w:eastAsia="Times New Roman"/>
        </w:rPr>
      </w:pPr>
      <w:r>
        <w:rPr>
          <w:rFonts w:eastAsia="Times New Roman"/>
        </w:rPr>
        <w:t xml:space="preserve">From the remaining data of </w:t>
      </w:r>
      <w:r w:rsidR="00802C1A">
        <w:rPr>
          <w:rFonts w:eastAsia="Times New Roman"/>
        </w:rPr>
        <w:t>24</w:t>
      </w:r>
      <w:r>
        <w:rPr>
          <w:rFonts w:eastAsia="Times New Roman"/>
        </w:rPr>
        <w:t xml:space="preserve"> </w:t>
      </w:r>
      <w:r w:rsidR="002531F7">
        <w:rPr>
          <w:rFonts w:eastAsia="Times New Roman"/>
        </w:rPr>
        <w:t>participants’</w:t>
      </w:r>
      <w:r>
        <w:rPr>
          <w:rFonts w:eastAsia="Times New Roman"/>
        </w:rPr>
        <w:t xml:space="preserve"> erroneous responses</w:t>
      </w:r>
      <w:r w:rsidR="00EB53C0">
        <w:rPr>
          <w:rFonts w:eastAsia="Times New Roman"/>
        </w:rPr>
        <w:t xml:space="preserve"> (</w:t>
      </w:r>
      <w:r w:rsidR="00CE4785">
        <w:rPr>
          <w:rFonts w:eastAsia="Times New Roman"/>
        </w:rPr>
        <w:t>7.1</w:t>
      </w:r>
      <w:r w:rsidR="00EB53C0">
        <w:rPr>
          <w:rFonts w:eastAsia="Times New Roman"/>
        </w:rPr>
        <w:t>%) and outliers (5.06</w:t>
      </w:r>
      <w:r w:rsidR="00454B89" w:rsidRPr="00454B89">
        <w:rPr>
          <w:rFonts w:eastAsia="Times New Roman"/>
        </w:rPr>
        <w:t xml:space="preserve">%) </w:t>
      </w:r>
      <w:r>
        <w:t xml:space="preserve">with RT outside of ± 2SD </w:t>
      </w:r>
      <w:r w:rsidR="00454B89" w:rsidRPr="00454B89">
        <w:rPr>
          <w:rFonts w:eastAsia="Times New Roman"/>
        </w:rPr>
        <w:t xml:space="preserve">per </w:t>
      </w:r>
      <w:r w:rsidR="006356A8">
        <w:rPr>
          <w:rFonts w:eastAsia="Times New Roman"/>
        </w:rPr>
        <w:t>participant</w:t>
      </w:r>
      <w:r w:rsidR="00454B89" w:rsidRPr="00454B89">
        <w:rPr>
          <w:rFonts w:eastAsia="Times New Roman"/>
        </w:rPr>
        <w:t xml:space="preserve"> and per condition </w:t>
      </w:r>
      <w:r w:rsidR="00541D6C">
        <w:rPr>
          <w:rFonts w:eastAsia="Times New Roman"/>
        </w:rPr>
        <w:t xml:space="preserve">means </w:t>
      </w:r>
      <w:r w:rsidR="00454B89" w:rsidRPr="00454B89">
        <w:rPr>
          <w:rFonts w:eastAsia="Times New Roman"/>
        </w:rPr>
        <w:t xml:space="preserve">were excluded from the RT analysis. The </w:t>
      </w:r>
      <w:r>
        <w:rPr>
          <w:rFonts w:eastAsia="Times New Roman"/>
        </w:rPr>
        <w:t>data were averaged by subject and then entered into repeated measures ANOVA (</w:t>
      </w:r>
      <w:proofErr w:type="spellStart"/>
      <w:r>
        <w:rPr>
          <w:rFonts w:eastAsia="Times New Roman"/>
        </w:rPr>
        <w:t>rANOVA</w:t>
      </w:r>
      <w:proofErr w:type="spellEnd"/>
      <w:r>
        <w:rPr>
          <w:rFonts w:eastAsia="Times New Roman"/>
        </w:rPr>
        <w:t xml:space="preserve">) with </w:t>
      </w:r>
      <w:r w:rsidR="00F31974" w:rsidRPr="00F31974">
        <w:rPr>
          <w:rFonts w:eastAsia="Times New Roman"/>
          <w:highlight w:val="yellow"/>
        </w:rPr>
        <w:t>action</w:t>
      </w:r>
      <w:r w:rsidR="00D94EFF">
        <w:rPr>
          <w:rFonts w:eastAsia="Times New Roman"/>
        </w:rPr>
        <w:t>-outcome</w:t>
      </w:r>
      <w:r w:rsidR="00F31974">
        <w:rPr>
          <w:rFonts w:eastAsia="Times New Roman"/>
        </w:rPr>
        <w:t xml:space="preserve"> consistency</w:t>
      </w:r>
      <w:r>
        <w:rPr>
          <w:rFonts w:eastAsia="Times New Roman"/>
        </w:rPr>
        <w:t xml:space="preserve"> and </w:t>
      </w:r>
      <w:r w:rsidR="00F31974">
        <w:rPr>
          <w:rFonts w:eastAsia="Times New Roman"/>
        </w:rPr>
        <w:t>gaze</w:t>
      </w:r>
      <w:r>
        <w:rPr>
          <w:rFonts w:eastAsia="Times New Roman"/>
        </w:rPr>
        <w:t xml:space="preserve"> </w:t>
      </w:r>
      <w:r w:rsidR="000B3F66">
        <w:rPr>
          <w:rFonts w:eastAsia="Times New Roman"/>
        </w:rPr>
        <w:t xml:space="preserve">cueing </w:t>
      </w:r>
      <w:r>
        <w:rPr>
          <w:rFonts w:eastAsia="Times New Roman"/>
        </w:rPr>
        <w:t>as within-subject variables. Bonferroni post-hoc test was applied where appropriate. Table 1 presents descriptive statistics per condition.</w:t>
      </w:r>
    </w:p>
    <w:p w14:paraId="20A5C6B7" w14:textId="4DF10513" w:rsidR="00C00D27" w:rsidRDefault="00C00D27" w:rsidP="00454B89">
      <w:pPr>
        <w:rPr>
          <w:rFonts w:eastAsia="Times New Roman"/>
        </w:rPr>
      </w:pPr>
    </w:p>
    <w:p w14:paraId="325C92BA" w14:textId="67AE7722" w:rsidR="001B6FE1" w:rsidRDefault="00E810F4" w:rsidP="000023FA">
      <w:pPr>
        <w:ind w:firstLine="187"/>
        <w:jc w:val="center"/>
        <w:rPr>
          <w:rFonts w:eastAsia="Times New Roman"/>
        </w:rPr>
      </w:pPr>
      <w:r>
        <w:rPr>
          <w:rFonts w:eastAsia="Times New Roman"/>
        </w:rPr>
        <w:t>Table 1:</w:t>
      </w:r>
      <w:r w:rsidR="001B6FE1">
        <w:rPr>
          <w:rFonts w:eastAsia="Times New Roman"/>
        </w:rPr>
        <w:t xml:space="preserve"> Mean</w:t>
      </w:r>
      <w:r w:rsidR="00763BAE">
        <w:rPr>
          <w:rFonts w:eastAsia="Times New Roman"/>
        </w:rPr>
        <w:t xml:space="preserve"> RTs</w:t>
      </w:r>
      <w:r w:rsidR="001B6FE1">
        <w:rPr>
          <w:rFonts w:eastAsia="Times New Roman"/>
        </w:rPr>
        <w:t>, standard deviations (SD)</w:t>
      </w:r>
      <w:r w:rsidR="004E415B">
        <w:rPr>
          <w:rFonts w:eastAsia="Times New Roman"/>
        </w:rPr>
        <w:t xml:space="preserve"> in parentheses</w:t>
      </w:r>
      <w:r w:rsidR="001B6FE1">
        <w:rPr>
          <w:rFonts w:eastAsia="Times New Roman"/>
        </w:rPr>
        <w:t xml:space="preserve">, and 95% </w:t>
      </w:r>
      <w:r w:rsidR="00763BAE">
        <w:rPr>
          <w:rFonts w:eastAsia="Times New Roman"/>
        </w:rPr>
        <w:t>confidence intervals (</w:t>
      </w:r>
      <w:r w:rsidR="001B6FE1">
        <w:rPr>
          <w:rFonts w:eastAsia="Times New Roman"/>
        </w:rPr>
        <w:t>CI</w:t>
      </w:r>
      <w:r w:rsidR="00763BAE">
        <w:rPr>
          <w:rFonts w:eastAsia="Times New Roman"/>
        </w:rPr>
        <w:t>)</w:t>
      </w:r>
      <w:r w:rsidR="001B6FE1">
        <w:rPr>
          <w:rFonts w:eastAsia="Times New Roman"/>
        </w:rPr>
        <w:t xml:space="preserve"> per condition, </w:t>
      </w:r>
      <w:proofErr w:type="spellStart"/>
      <w:r w:rsidR="001B6FE1">
        <w:rPr>
          <w:rFonts w:eastAsia="Times New Roman"/>
        </w:rPr>
        <w:t>ms.</w:t>
      </w:r>
      <w:proofErr w:type="spellEnd"/>
    </w:p>
    <w:p w14:paraId="090D3D82" w14:textId="77777777" w:rsidR="00E810F4" w:rsidRDefault="00E810F4" w:rsidP="000023FA">
      <w:pPr>
        <w:ind w:firstLine="187"/>
        <w:jc w:val="center"/>
        <w:rPr>
          <w:rFonts w:eastAsia="Times New Roman"/>
        </w:rPr>
      </w:pPr>
    </w:p>
    <w:tbl>
      <w:tblPr>
        <w:tblStyle w:val="TableGrid"/>
        <w:tblW w:w="4787" w:type="dxa"/>
        <w:tblLook w:val="04A0" w:firstRow="1" w:lastRow="0" w:firstColumn="1" w:lastColumn="0" w:noHBand="0" w:noVBand="1"/>
      </w:tblPr>
      <w:tblGrid>
        <w:gridCol w:w="1183"/>
        <w:gridCol w:w="1790"/>
        <w:gridCol w:w="1814"/>
      </w:tblGrid>
      <w:tr w:rsidR="0088516D" w:rsidRPr="0096437A" w14:paraId="6CE9E860" w14:textId="77777777" w:rsidTr="0088516D">
        <w:trPr>
          <w:trHeight w:val="304"/>
        </w:trPr>
        <w:tc>
          <w:tcPr>
            <w:tcW w:w="1183" w:type="dxa"/>
            <w:tcBorders>
              <w:left w:val="nil"/>
              <w:bottom w:val="single" w:sz="4" w:space="0" w:color="auto"/>
              <w:right w:val="nil"/>
            </w:tcBorders>
            <w:vAlign w:val="center"/>
          </w:tcPr>
          <w:p w14:paraId="67F42BF2" w14:textId="65DAE1F8" w:rsidR="0088516D" w:rsidRDefault="0088516D" w:rsidP="0096437A">
            <w:pPr>
              <w:ind w:firstLine="0"/>
              <w:rPr>
                <w:rFonts w:eastAsia="Times New Roman"/>
                <w:b/>
                <w:bCs/>
              </w:rPr>
            </w:pPr>
          </w:p>
        </w:tc>
        <w:tc>
          <w:tcPr>
            <w:tcW w:w="3604" w:type="dxa"/>
            <w:gridSpan w:val="2"/>
            <w:tcBorders>
              <w:left w:val="nil"/>
              <w:bottom w:val="single" w:sz="4" w:space="0" w:color="auto"/>
              <w:right w:val="nil"/>
            </w:tcBorders>
            <w:vAlign w:val="center"/>
          </w:tcPr>
          <w:p w14:paraId="41C63B9E" w14:textId="05BCEDF6" w:rsidR="0088516D" w:rsidRDefault="0088516D" w:rsidP="0096437A">
            <w:pPr>
              <w:ind w:firstLine="0"/>
              <w:rPr>
                <w:rFonts w:eastAsia="Times New Roman"/>
                <w:b/>
                <w:bCs/>
              </w:rPr>
            </w:pPr>
            <w:r>
              <w:rPr>
                <w:rFonts w:eastAsia="Times New Roman"/>
                <w:b/>
                <w:bCs/>
              </w:rPr>
              <w:t xml:space="preserve">                       Gaze Cue</w:t>
            </w:r>
            <w:r w:rsidR="003A63FA">
              <w:rPr>
                <w:rFonts w:eastAsia="Times New Roman"/>
                <w:b/>
                <w:bCs/>
              </w:rPr>
              <w:t>ing</w:t>
            </w:r>
          </w:p>
        </w:tc>
      </w:tr>
      <w:tr w:rsidR="0096437A" w:rsidRPr="0096437A" w14:paraId="4A67C852" w14:textId="77777777" w:rsidTr="0088516D">
        <w:trPr>
          <w:trHeight w:val="304"/>
        </w:trPr>
        <w:tc>
          <w:tcPr>
            <w:tcW w:w="1183" w:type="dxa"/>
            <w:tcBorders>
              <w:left w:val="nil"/>
              <w:bottom w:val="single" w:sz="4" w:space="0" w:color="auto"/>
              <w:right w:val="nil"/>
            </w:tcBorders>
            <w:vAlign w:val="center"/>
          </w:tcPr>
          <w:p w14:paraId="37BFEE35" w14:textId="2584CED0" w:rsidR="0096437A" w:rsidRPr="0096437A" w:rsidRDefault="00127FC0" w:rsidP="0096437A">
            <w:pPr>
              <w:ind w:firstLine="0"/>
              <w:rPr>
                <w:rFonts w:eastAsia="Times New Roman"/>
                <w:b/>
                <w:bCs/>
              </w:rPr>
            </w:pPr>
            <w:r>
              <w:rPr>
                <w:rFonts w:eastAsia="Times New Roman"/>
                <w:b/>
                <w:bCs/>
              </w:rPr>
              <w:t>Action</w:t>
            </w:r>
            <w:r w:rsidR="00E936A7">
              <w:rPr>
                <w:rFonts w:eastAsia="Times New Roman"/>
                <w:b/>
                <w:bCs/>
              </w:rPr>
              <w:t>-Outcome</w:t>
            </w:r>
          </w:p>
        </w:tc>
        <w:tc>
          <w:tcPr>
            <w:tcW w:w="1790" w:type="dxa"/>
            <w:tcBorders>
              <w:left w:val="nil"/>
              <w:bottom w:val="single" w:sz="4" w:space="0" w:color="auto"/>
              <w:right w:val="nil"/>
            </w:tcBorders>
            <w:vAlign w:val="center"/>
          </w:tcPr>
          <w:p w14:paraId="59223507" w14:textId="61CCD997" w:rsidR="0096437A" w:rsidRPr="0096437A" w:rsidRDefault="0088516D" w:rsidP="0096437A">
            <w:pPr>
              <w:ind w:firstLine="0"/>
              <w:rPr>
                <w:rFonts w:eastAsia="Times New Roman"/>
                <w:b/>
                <w:bCs/>
              </w:rPr>
            </w:pPr>
            <w:r>
              <w:rPr>
                <w:rFonts w:eastAsia="Times New Roman"/>
                <w:b/>
                <w:bCs/>
              </w:rPr>
              <w:t>Congruen</w:t>
            </w:r>
            <w:r w:rsidR="009F42BB">
              <w:rPr>
                <w:rFonts w:eastAsia="Times New Roman"/>
                <w:b/>
                <w:bCs/>
              </w:rPr>
              <w:t>t</w:t>
            </w:r>
          </w:p>
        </w:tc>
        <w:tc>
          <w:tcPr>
            <w:tcW w:w="1814" w:type="dxa"/>
            <w:tcBorders>
              <w:left w:val="nil"/>
              <w:bottom w:val="single" w:sz="4" w:space="0" w:color="auto"/>
              <w:right w:val="nil"/>
            </w:tcBorders>
            <w:vAlign w:val="center"/>
          </w:tcPr>
          <w:p w14:paraId="10593C37" w14:textId="02A15382" w:rsidR="0096437A" w:rsidRPr="0096437A" w:rsidRDefault="0088516D" w:rsidP="0096437A">
            <w:pPr>
              <w:ind w:firstLine="0"/>
              <w:rPr>
                <w:rFonts w:eastAsia="Times New Roman"/>
                <w:b/>
                <w:bCs/>
              </w:rPr>
            </w:pPr>
            <w:r>
              <w:rPr>
                <w:rFonts w:eastAsia="Times New Roman"/>
                <w:b/>
                <w:bCs/>
              </w:rPr>
              <w:t>Incongruen</w:t>
            </w:r>
            <w:r w:rsidR="009F42BB">
              <w:rPr>
                <w:rFonts w:eastAsia="Times New Roman"/>
                <w:b/>
                <w:bCs/>
              </w:rPr>
              <w:t>t</w:t>
            </w:r>
          </w:p>
        </w:tc>
      </w:tr>
      <w:tr w:rsidR="0096437A" w:rsidRPr="0096437A" w14:paraId="3E7A0ACC" w14:textId="77777777" w:rsidTr="0088516D">
        <w:trPr>
          <w:trHeight w:val="304"/>
        </w:trPr>
        <w:tc>
          <w:tcPr>
            <w:tcW w:w="1183" w:type="dxa"/>
            <w:tcBorders>
              <w:left w:val="nil"/>
              <w:bottom w:val="nil"/>
              <w:right w:val="nil"/>
            </w:tcBorders>
            <w:vAlign w:val="center"/>
          </w:tcPr>
          <w:p w14:paraId="0A7CD06D" w14:textId="71687932" w:rsidR="0096437A" w:rsidRPr="0096437A" w:rsidRDefault="0088516D" w:rsidP="0096437A">
            <w:pPr>
              <w:ind w:firstLine="0"/>
              <w:rPr>
                <w:rFonts w:eastAsia="Times New Roman"/>
              </w:rPr>
            </w:pPr>
            <w:r>
              <w:rPr>
                <w:rFonts w:eastAsia="Times New Roman"/>
              </w:rPr>
              <w:t>Consistent</w:t>
            </w:r>
          </w:p>
        </w:tc>
        <w:tc>
          <w:tcPr>
            <w:tcW w:w="1790" w:type="dxa"/>
            <w:tcBorders>
              <w:left w:val="nil"/>
              <w:bottom w:val="nil"/>
              <w:right w:val="nil"/>
            </w:tcBorders>
            <w:vAlign w:val="center"/>
          </w:tcPr>
          <w:p w14:paraId="7154A8E1" w14:textId="2B2548D0" w:rsidR="0096437A" w:rsidRPr="0096437A" w:rsidRDefault="00C7237C" w:rsidP="00C7237C">
            <w:pPr>
              <w:ind w:firstLine="0"/>
              <w:rPr>
                <w:rFonts w:eastAsia="Times New Roman"/>
              </w:rPr>
            </w:pPr>
            <w:r>
              <w:rPr>
                <w:rFonts w:eastAsia="Times New Roman"/>
              </w:rPr>
              <w:t>546</w:t>
            </w:r>
            <w:r w:rsidR="0096437A" w:rsidRPr="0096437A">
              <w:rPr>
                <w:rFonts w:eastAsia="Times New Roman"/>
              </w:rPr>
              <w:t>(</w:t>
            </w:r>
            <w:r>
              <w:rPr>
                <w:rFonts w:eastAsia="Times New Roman"/>
              </w:rPr>
              <w:t>78</w:t>
            </w:r>
            <w:r w:rsidR="0096437A" w:rsidRPr="0096437A">
              <w:rPr>
                <w:rFonts w:eastAsia="Times New Roman"/>
              </w:rPr>
              <w:t xml:space="preserve">), </w:t>
            </w:r>
            <w:r>
              <w:rPr>
                <w:rFonts w:eastAsia="Times New Roman"/>
              </w:rPr>
              <w:t>514</w:t>
            </w:r>
            <w:r w:rsidR="0096437A" w:rsidRPr="0096437A">
              <w:rPr>
                <w:rFonts w:eastAsia="Times New Roman"/>
              </w:rPr>
              <w:t>–</w:t>
            </w:r>
            <w:r>
              <w:rPr>
                <w:rFonts w:eastAsia="Times New Roman"/>
              </w:rPr>
              <w:t>579</w:t>
            </w:r>
          </w:p>
        </w:tc>
        <w:tc>
          <w:tcPr>
            <w:tcW w:w="1814" w:type="dxa"/>
            <w:tcBorders>
              <w:left w:val="nil"/>
              <w:bottom w:val="nil"/>
              <w:right w:val="nil"/>
            </w:tcBorders>
            <w:vAlign w:val="center"/>
          </w:tcPr>
          <w:p w14:paraId="57DFC449" w14:textId="617B6000" w:rsidR="0096437A" w:rsidRPr="0096437A" w:rsidRDefault="00A559C8" w:rsidP="00A559C8">
            <w:pPr>
              <w:ind w:firstLine="0"/>
              <w:rPr>
                <w:rFonts w:eastAsia="Times New Roman"/>
              </w:rPr>
            </w:pPr>
            <w:r>
              <w:rPr>
                <w:rFonts w:eastAsia="Times New Roman"/>
              </w:rPr>
              <w:t>594</w:t>
            </w:r>
            <w:r w:rsidR="0096437A" w:rsidRPr="0096437A">
              <w:rPr>
                <w:rFonts w:eastAsia="Times New Roman"/>
              </w:rPr>
              <w:t>(</w:t>
            </w:r>
            <w:r>
              <w:rPr>
                <w:rFonts w:eastAsia="Times New Roman"/>
              </w:rPr>
              <w:t>87</w:t>
            </w:r>
            <w:r w:rsidR="0096437A" w:rsidRPr="0096437A">
              <w:rPr>
                <w:rFonts w:eastAsia="Times New Roman"/>
              </w:rPr>
              <w:t xml:space="preserve">), </w:t>
            </w:r>
            <w:r>
              <w:rPr>
                <w:rFonts w:eastAsia="Times New Roman"/>
              </w:rPr>
              <w:t>558</w:t>
            </w:r>
            <w:r w:rsidR="0096437A" w:rsidRPr="0096437A">
              <w:rPr>
                <w:rFonts w:eastAsia="Times New Roman"/>
              </w:rPr>
              <w:t>–</w:t>
            </w:r>
            <w:r>
              <w:rPr>
                <w:rFonts w:eastAsia="Times New Roman"/>
              </w:rPr>
              <w:t>631</w:t>
            </w:r>
          </w:p>
        </w:tc>
      </w:tr>
      <w:tr w:rsidR="0096437A" w:rsidRPr="0096437A" w14:paraId="1D1282EF" w14:textId="77777777" w:rsidTr="0088516D">
        <w:trPr>
          <w:trHeight w:val="304"/>
        </w:trPr>
        <w:tc>
          <w:tcPr>
            <w:tcW w:w="1183" w:type="dxa"/>
            <w:tcBorders>
              <w:top w:val="nil"/>
              <w:left w:val="nil"/>
              <w:bottom w:val="nil"/>
              <w:right w:val="nil"/>
            </w:tcBorders>
            <w:vAlign w:val="center"/>
          </w:tcPr>
          <w:p w14:paraId="6AFD0BA0" w14:textId="1FECDFCB" w:rsidR="0096437A" w:rsidRPr="0096437A" w:rsidRDefault="0088516D" w:rsidP="0096437A">
            <w:pPr>
              <w:ind w:firstLine="0"/>
              <w:rPr>
                <w:rFonts w:eastAsia="Times New Roman"/>
              </w:rPr>
            </w:pPr>
            <w:r>
              <w:rPr>
                <w:rFonts w:eastAsia="Times New Roman"/>
              </w:rPr>
              <w:t>Inconsistent</w:t>
            </w:r>
          </w:p>
        </w:tc>
        <w:tc>
          <w:tcPr>
            <w:tcW w:w="1790" w:type="dxa"/>
            <w:tcBorders>
              <w:top w:val="nil"/>
              <w:left w:val="nil"/>
              <w:bottom w:val="nil"/>
              <w:right w:val="nil"/>
            </w:tcBorders>
            <w:vAlign w:val="center"/>
          </w:tcPr>
          <w:p w14:paraId="08B3D8F6" w14:textId="06F53FAC" w:rsidR="0096437A" w:rsidRPr="0096437A" w:rsidRDefault="009B5BC3" w:rsidP="009B5BC3">
            <w:pPr>
              <w:ind w:firstLine="0"/>
              <w:rPr>
                <w:rFonts w:eastAsia="Times New Roman"/>
              </w:rPr>
            </w:pPr>
            <w:r>
              <w:rPr>
                <w:rFonts w:eastAsia="Times New Roman"/>
              </w:rPr>
              <w:t>560</w:t>
            </w:r>
            <w:r w:rsidR="0096437A" w:rsidRPr="0096437A">
              <w:rPr>
                <w:rFonts w:eastAsia="Times New Roman"/>
              </w:rPr>
              <w:t>(</w:t>
            </w:r>
            <w:r>
              <w:rPr>
                <w:rFonts w:eastAsia="Times New Roman"/>
              </w:rPr>
              <w:t>77</w:t>
            </w:r>
            <w:r w:rsidR="0096437A" w:rsidRPr="0096437A">
              <w:rPr>
                <w:rFonts w:eastAsia="Times New Roman"/>
              </w:rPr>
              <w:t xml:space="preserve">), </w:t>
            </w:r>
            <w:r>
              <w:rPr>
                <w:rFonts w:eastAsia="Times New Roman"/>
              </w:rPr>
              <w:t>528</w:t>
            </w:r>
            <w:r w:rsidR="0096437A" w:rsidRPr="0096437A">
              <w:rPr>
                <w:rFonts w:eastAsia="Times New Roman"/>
              </w:rPr>
              <w:t>–</w:t>
            </w:r>
            <w:r>
              <w:rPr>
                <w:rFonts w:eastAsia="Times New Roman"/>
              </w:rPr>
              <w:t>593</w:t>
            </w:r>
          </w:p>
        </w:tc>
        <w:tc>
          <w:tcPr>
            <w:tcW w:w="1814" w:type="dxa"/>
            <w:tcBorders>
              <w:top w:val="nil"/>
              <w:left w:val="nil"/>
              <w:bottom w:val="nil"/>
              <w:right w:val="nil"/>
            </w:tcBorders>
            <w:vAlign w:val="center"/>
          </w:tcPr>
          <w:p w14:paraId="76971521" w14:textId="1B643CE7" w:rsidR="0096437A" w:rsidRPr="0096437A" w:rsidRDefault="00A559C8" w:rsidP="00A559C8">
            <w:pPr>
              <w:ind w:firstLine="0"/>
              <w:rPr>
                <w:rFonts w:eastAsia="Times New Roman"/>
              </w:rPr>
            </w:pPr>
            <w:r>
              <w:rPr>
                <w:rFonts w:eastAsia="Times New Roman"/>
              </w:rPr>
              <w:t>583</w:t>
            </w:r>
            <w:r w:rsidR="0096437A" w:rsidRPr="0096437A">
              <w:rPr>
                <w:rFonts w:eastAsia="Times New Roman"/>
              </w:rPr>
              <w:t>(</w:t>
            </w:r>
            <w:r>
              <w:rPr>
                <w:rFonts w:eastAsia="Times New Roman"/>
              </w:rPr>
              <w:t>86</w:t>
            </w:r>
            <w:r w:rsidR="0096437A" w:rsidRPr="0096437A">
              <w:rPr>
                <w:rFonts w:eastAsia="Times New Roman"/>
              </w:rPr>
              <w:t xml:space="preserve">), </w:t>
            </w:r>
            <w:r>
              <w:rPr>
                <w:rFonts w:eastAsia="Times New Roman"/>
              </w:rPr>
              <w:t>547</w:t>
            </w:r>
            <w:r w:rsidR="0096437A" w:rsidRPr="0096437A">
              <w:rPr>
                <w:rFonts w:eastAsia="Times New Roman"/>
              </w:rPr>
              <w:t>–</w:t>
            </w:r>
            <w:r>
              <w:rPr>
                <w:rFonts w:eastAsia="Times New Roman"/>
              </w:rPr>
              <w:t>620</w:t>
            </w:r>
          </w:p>
        </w:tc>
      </w:tr>
      <w:tr w:rsidR="0096437A" w:rsidRPr="0096437A" w14:paraId="54994209" w14:textId="77777777" w:rsidTr="0088516D">
        <w:trPr>
          <w:trHeight w:val="304"/>
        </w:trPr>
        <w:tc>
          <w:tcPr>
            <w:tcW w:w="1183" w:type="dxa"/>
            <w:tcBorders>
              <w:top w:val="nil"/>
              <w:left w:val="nil"/>
              <w:bottom w:val="single" w:sz="4" w:space="0" w:color="auto"/>
              <w:right w:val="nil"/>
            </w:tcBorders>
            <w:vAlign w:val="center"/>
          </w:tcPr>
          <w:p w14:paraId="6A35CCAF" w14:textId="0B00DCF0" w:rsidR="0096437A" w:rsidRPr="0096437A" w:rsidRDefault="0088516D" w:rsidP="0096437A">
            <w:pPr>
              <w:ind w:firstLine="0"/>
              <w:rPr>
                <w:rFonts w:eastAsia="Times New Roman"/>
              </w:rPr>
            </w:pPr>
            <w:r>
              <w:rPr>
                <w:rFonts w:eastAsia="Times New Roman"/>
              </w:rPr>
              <w:t>Control</w:t>
            </w:r>
          </w:p>
        </w:tc>
        <w:tc>
          <w:tcPr>
            <w:tcW w:w="1790" w:type="dxa"/>
            <w:tcBorders>
              <w:top w:val="nil"/>
              <w:left w:val="nil"/>
              <w:bottom w:val="single" w:sz="4" w:space="0" w:color="auto"/>
              <w:right w:val="nil"/>
            </w:tcBorders>
            <w:vAlign w:val="center"/>
          </w:tcPr>
          <w:p w14:paraId="2CFA48D1" w14:textId="2D282184" w:rsidR="0096437A" w:rsidRPr="0096437A" w:rsidRDefault="009B5BC3" w:rsidP="009B5BC3">
            <w:pPr>
              <w:ind w:firstLine="0"/>
              <w:rPr>
                <w:rFonts w:eastAsia="Times New Roman"/>
              </w:rPr>
            </w:pPr>
            <w:r>
              <w:rPr>
                <w:rFonts w:eastAsia="Times New Roman"/>
              </w:rPr>
              <w:t>586</w:t>
            </w:r>
            <w:r w:rsidR="0096437A" w:rsidRPr="0096437A">
              <w:rPr>
                <w:rFonts w:eastAsia="Times New Roman"/>
              </w:rPr>
              <w:t>(</w:t>
            </w:r>
            <w:r>
              <w:rPr>
                <w:rFonts w:eastAsia="Times New Roman"/>
              </w:rPr>
              <w:t>92</w:t>
            </w:r>
            <w:r w:rsidR="0096437A" w:rsidRPr="0096437A">
              <w:rPr>
                <w:rFonts w:eastAsia="Times New Roman"/>
              </w:rPr>
              <w:t xml:space="preserve">), </w:t>
            </w:r>
            <w:r>
              <w:rPr>
                <w:rFonts w:eastAsia="Times New Roman"/>
              </w:rPr>
              <w:t>547</w:t>
            </w:r>
            <w:r w:rsidR="0096437A" w:rsidRPr="0096437A">
              <w:rPr>
                <w:rFonts w:eastAsia="Times New Roman"/>
              </w:rPr>
              <w:t>–</w:t>
            </w:r>
            <w:r>
              <w:rPr>
                <w:rFonts w:eastAsia="Times New Roman"/>
              </w:rPr>
              <w:t>625</w:t>
            </w:r>
          </w:p>
        </w:tc>
        <w:tc>
          <w:tcPr>
            <w:tcW w:w="1814" w:type="dxa"/>
            <w:tcBorders>
              <w:top w:val="nil"/>
              <w:left w:val="nil"/>
              <w:bottom w:val="single" w:sz="4" w:space="0" w:color="auto"/>
              <w:right w:val="nil"/>
            </w:tcBorders>
            <w:vAlign w:val="center"/>
          </w:tcPr>
          <w:p w14:paraId="18C83B57" w14:textId="17225A0E" w:rsidR="0096437A" w:rsidRPr="0096437A" w:rsidRDefault="00A559C8" w:rsidP="00A559C8">
            <w:pPr>
              <w:ind w:firstLine="0"/>
              <w:rPr>
                <w:rFonts w:eastAsia="Times New Roman"/>
              </w:rPr>
            </w:pPr>
            <w:r>
              <w:rPr>
                <w:rFonts w:eastAsia="Times New Roman"/>
              </w:rPr>
              <w:t>603</w:t>
            </w:r>
            <w:r w:rsidR="0096437A" w:rsidRPr="0096437A">
              <w:rPr>
                <w:rFonts w:eastAsia="Times New Roman"/>
              </w:rPr>
              <w:t>(9</w:t>
            </w:r>
            <w:r>
              <w:rPr>
                <w:rFonts w:eastAsia="Times New Roman"/>
              </w:rPr>
              <w:t>3</w:t>
            </w:r>
            <w:r w:rsidR="0096437A" w:rsidRPr="0096437A">
              <w:rPr>
                <w:rFonts w:eastAsia="Times New Roman"/>
              </w:rPr>
              <w:t xml:space="preserve">), </w:t>
            </w:r>
            <w:r>
              <w:rPr>
                <w:rFonts w:eastAsia="Times New Roman"/>
              </w:rPr>
              <w:t>564</w:t>
            </w:r>
            <w:r w:rsidR="0096437A" w:rsidRPr="0096437A">
              <w:rPr>
                <w:rFonts w:eastAsia="Times New Roman"/>
              </w:rPr>
              <w:t>–</w:t>
            </w:r>
            <w:r>
              <w:rPr>
                <w:rFonts w:eastAsia="Times New Roman"/>
              </w:rPr>
              <w:t>643</w:t>
            </w:r>
          </w:p>
        </w:tc>
      </w:tr>
    </w:tbl>
    <w:p w14:paraId="20BA33E8" w14:textId="77777777" w:rsidR="00623D3B" w:rsidRDefault="00623D3B" w:rsidP="00FB4FB1">
      <w:pPr>
        <w:ind w:firstLine="187"/>
      </w:pPr>
    </w:p>
    <w:p w14:paraId="10AFB4A3" w14:textId="316C094E" w:rsidR="00FB4FB1" w:rsidRDefault="00D8204F" w:rsidP="005F3FAC">
      <w:pPr>
        <w:ind w:firstLine="187"/>
      </w:pPr>
      <w:proofErr w:type="spellStart"/>
      <w:r>
        <w:t>rANOVA</w:t>
      </w:r>
      <w:proofErr w:type="spellEnd"/>
      <w:r>
        <w:t xml:space="preserve"> obtained </w:t>
      </w:r>
      <w:r w:rsidRPr="00DC7F49">
        <w:t xml:space="preserve">a significant main effect of </w:t>
      </w:r>
      <w:r w:rsidR="00EB2D2D">
        <w:t>gaze cue</w:t>
      </w:r>
      <w:r w:rsidR="003A63FA">
        <w:t>ing</w:t>
      </w:r>
      <w:r w:rsidR="00EB2D2D">
        <w:t xml:space="preserve"> </w:t>
      </w:r>
      <w:r w:rsidRPr="00DC7F49">
        <w:t>(</w:t>
      </w:r>
      <w:proofErr w:type="gramStart"/>
      <w:r>
        <w:t>F</w:t>
      </w:r>
      <w:r w:rsidR="00EB2D2D">
        <w:t>(</w:t>
      </w:r>
      <w:proofErr w:type="gramEnd"/>
      <w:r w:rsidR="00EB2D2D">
        <w:t>1,</w:t>
      </w:r>
      <w:proofErr w:type="gramStart"/>
      <w:r w:rsidR="00EB2D2D">
        <w:t>23)=</w:t>
      </w:r>
      <w:proofErr w:type="gramEnd"/>
      <w:r w:rsidR="00EB2D2D">
        <w:t>32</w:t>
      </w:r>
      <w:r w:rsidR="00AC767C">
        <w:t>.</w:t>
      </w:r>
      <w:r w:rsidR="00EB2D2D">
        <w:t>31, p&lt;</w:t>
      </w:r>
      <w:r>
        <w:t>0.0</w:t>
      </w:r>
      <w:r w:rsidR="00EB2D2D">
        <w:t>01</w:t>
      </w:r>
      <w:r>
        <w:t xml:space="preserve"> </w:t>
      </w:r>
      <w:r w:rsidRPr="00890E05">
        <w:t>η</w:t>
      </w:r>
      <w:r w:rsidRPr="00890E05">
        <w:rPr>
          <w:vertAlign w:val="subscript"/>
        </w:rPr>
        <w:t>p</w:t>
      </w:r>
      <w:r w:rsidRPr="00890E05">
        <w:rPr>
          <w:vertAlign w:val="superscript"/>
        </w:rPr>
        <w:t>2</w:t>
      </w:r>
      <w:r w:rsidR="00AC767C">
        <w:t>=</w:t>
      </w:r>
      <w:r w:rsidR="00EB2D2D">
        <w:t>0.58</w:t>
      </w:r>
      <w:r w:rsidRPr="00067881">
        <w:t>)</w:t>
      </w:r>
      <w:r>
        <w:t>,</w:t>
      </w:r>
      <w:r w:rsidRPr="00DC7F49">
        <w:t xml:space="preserve"> </w:t>
      </w:r>
      <w:r>
        <w:t xml:space="preserve">suggesting that </w:t>
      </w:r>
      <w:r w:rsidR="00AE3239">
        <w:t>color discrimination was faster in congruent</w:t>
      </w:r>
      <w:r>
        <w:t xml:space="preserve"> (</w:t>
      </w:r>
      <w:r w:rsidR="00C43D29">
        <w:t>564</w:t>
      </w:r>
      <w:r>
        <w:t xml:space="preserve"> </w:t>
      </w:r>
      <w:proofErr w:type="spellStart"/>
      <w:r>
        <w:t>ms</w:t>
      </w:r>
      <w:proofErr w:type="spellEnd"/>
      <w:r>
        <w:t xml:space="preserve">) </w:t>
      </w:r>
      <w:r w:rsidR="00AE3239">
        <w:t>than in incongruent condition</w:t>
      </w:r>
      <w:r>
        <w:t xml:space="preserve"> (</w:t>
      </w:r>
      <w:r w:rsidR="00C43D29">
        <w:t>594</w:t>
      </w:r>
      <w:r>
        <w:t xml:space="preserve"> </w:t>
      </w:r>
      <w:proofErr w:type="spellStart"/>
      <w:r>
        <w:t>ms</w:t>
      </w:r>
      <w:proofErr w:type="spellEnd"/>
      <w:r>
        <w:t xml:space="preserve">). Main effect of </w:t>
      </w:r>
      <w:r w:rsidR="0058086E" w:rsidRPr="0058086E">
        <w:rPr>
          <w:highlight w:val="yellow"/>
        </w:rPr>
        <w:t>action</w:t>
      </w:r>
      <w:r w:rsidR="00D94EFF">
        <w:t>-outcome</w:t>
      </w:r>
      <w:r w:rsidR="0058086E">
        <w:t xml:space="preserve"> consistency</w:t>
      </w:r>
      <w:r>
        <w:t xml:space="preserve"> was also significant </w:t>
      </w:r>
      <w:r w:rsidRPr="00DC7F49">
        <w:t>(</w:t>
      </w:r>
      <w:proofErr w:type="gramStart"/>
      <w:r>
        <w:t>F</w:t>
      </w:r>
      <w:r w:rsidR="00932C40">
        <w:t>(</w:t>
      </w:r>
      <w:proofErr w:type="gramEnd"/>
      <w:r w:rsidR="00932C40">
        <w:t>2,</w:t>
      </w:r>
      <w:proofErr w:type="gramStart"/>
      <w:r w:rsidR="00543642">
        <w:t>46</w:t>
      </w:r>
      <w:r w:rsidR="00932C40">
        <w:t>)=</w:t>
      </w:r>
      <w:proofErr w:type="gramEnd"/>
      <w:r w:rsidR="00543642">
        <w:t>5.96</w:t>
      </w:r>
      <w:r w:rsidR="00AC767C">
        <w:t>, p</w:t>
      </w:r>
      <w:r>
        <w:t>=0.0</w:t>
      </w:r>
      <w:r w:rsidR="00543642">
        <w:t>05</w:t>
      </w:r>
      <w:r>
        <w:t xml:space="preserve">, </w:t>
      </w:r>
      <w:r w:rsidRPr="00890E05">
        <w:t>η</w:t>
      </w:r>
      <w:r w:rsidRPr="00890E05">
        <w:rPr>
          <w:vertAlign w:val="subscript"/>
        </w:rPr>
        <w:t>p</w:t>
      </w:r>
      <w:r w:rsidRPr="00890E05">
        <w:rPr>
          <w:vertAlign w:val="superscript"/>
        </w:rPr>
        <w:t>2</w:t>
      </w:r>
      <w:r w:rsidR="00932C40">
        <w:t>=</w:t>
      </w:r>
      <w:r w:rsidR="00543642">
        <w:t>0.21</w:t>
      </w:r>
      <w:r w:rsidRPr="00067881">
        <w:t>)</w:t>
      </w:r>
      <w:r>
        <w:t xml:space="preserve">. A post-hoc analysis showed that the </w:t>
      </w:r>
      <w:r w:rsidR="00C759D3">
        <w:t>control condition</w:t>
      </w:r>
      <w:r w:rsidR="00AC767C">
        <w:t xml:space="preserve"> (</w:t>
      </w:r>
      <w:r w:rsidR="00C759D3">
        <w:t>595</w:t>
      </w:r>
      <w:r>
        <w:t xml:space="preserve"> </w:t>
      </w:r>
      <w:proofErr w:type="spellStart"/>
      <w:r>
        <w:t>ms</w:t>
      </w:r>
      <w:proofErr w:type="spellEnd"/>
      <w:r>
        <w:t xml:space="preserve">) produced </w:t>
      </w:r>
      <w:r w:rsidR="00C759D3">
        <w:t>slower</w:t>
      </w:r>
      <w:r w:rsidR="00932C40">
        <w:t xml:space="preserve"> responses tha</w:t>
      </w:r>
      <w:r w:rsidR="004A0B4F">
        <w:t xml:space="preserve">n the </w:t>
      </w:r>
      <w:r w:rsidR="00C759D3">
        <w:t>consistent</w:t>
      </w:r>
      <w:r w:rsidR="004A0B4F">
        <w:t xml:space="preserve"> (</w:t>
      </w:r>
      <w:r w:rsidR="00C759D3">
        <w:t>570</w:t>
      </w:r>
      <w:r>
        <w:t xml:space="preserve"> </w:t>
      </w:r>
      <w:proofErr w:type="spellStart"/>
      <w:r>
        <w:t>ms</w:t>
      </w:r>
      <w:proofErr w:type="spellEnd"/>
      <w:r w:rsidR="00C759D3">
        <w:t>, p=</w:t>
      </w:r>
      <w:r w:rsidR="00984506">
        <w:t>0.027</w:t>
      </w:r>
      <w:r>
        <w:t xml:space="preserve">) </w:t>
      </w:r>
      <w:r w:rsidR="00C759D3">
        <w:t>and inconsistent</w:t>
      </w:r>
      <w:r>
        <w:t xml:space="preserve"> (</w:t>
      </w:r>
      <w:r w:rsidR="00C759D3">
        <w:t xml:space="preserve">572 </w:t>
      </w:r>
      <w:proofErr w:type="spellStart"/>
      <w:r w:rsidR="00C759D3">
        <w:t>ms</w:t>
      </w:r>
      <w:proofErr w:type="spellEnd"/>
      <w:r w:rsidR="00C759D3">
        <w:t xml:space="preserve">, </w:t>
      </w:r>
      <w:r>
        <w:t>p=0.0</w:t>
      </w:r>
      <w:r w:rsidR="00984506">
        <w:t>42</w:t>
      </w:r>
      <w:r>
        <w:t>)</w:t>
      </w:r>
      <w:r w:rsidR="00C759D3">
        <w:t xml:space="preserve"> conditions</w:t>
      </w:r>
      <w:r>
        <w:t xml:space="preserve">. There was no difference between </w:t>
      </w:r>
      <w:r w:rsidR="00C759D3">
        <w:t>consistent</w:t>
      </w:r>
      <w:r>
        <w:t xml:space="preserve"> and </w:t>
      </w:r>
      <w:r w:rsidR="00C759D3">
        <w:t>inconsistent conditions</w:t>
      </w:r>
      <w:r>
        <w:t xml:space="preserve"> (</w:t>
      </w:r>
      <w:r w:rsidR="004A0B4F">
        <w:t>p</w:t>
      </w:r>
      <w:r>
        <w:t>=0.</w:t>
      </w:r>
      <w:r w:rsidR="00C759D3">
        <w:t>776</w:t>
      </w:r>
      <w:r>
        <w:t>).</w:t>
      </w:r>
      <w:r w:rsidR="00AC767C">
        <w:t xml:space="preserve"> </w:t>
      </w:r>
      <w:r w:rsidR="00FB4FB1">
        <w:t>Most importantly</w:t>
      </w:r>
      <w:r w:rsidR="00FB4FB1" w:rsidRPr="00FB4FB1">
        <w:t>, a significant two-way interaction (</w:t>
      </w:r>
      <w:proofErr w:type="gramStart"/>
      <w:r w:rsidR="00894BA8">
        <w:t>F(</w:t>
      </w:r>
      <w:proofErr w:type="gramEnd"/>
      <w:r w:rsidR="00894BA8">
        <w:t>2,</w:t>
      </w:r>
      <w:proofErr w:type="gramStart"/>
      <w:r w:rsidR="00894BA8">
        <w:t>46</w:t>
      </w:r>
      <w:r w:rsidR="00FB4FB1">
        <w:t>)</w:t>
      </w:r>
      <w:r w:rsidR="00894BA8">
        <w:t>=</w:t>
      </w:r>
      <w:proofErr w:type="gramEnd"/>
      <w:r w:rsidR="00894BA8">
        <w:t>3.82</w:t>
      </w:r>
      <w:r w:rsidR="00FB4FB1" w:rsidRPr="00FB4FB1">
        <w:t>, p</w:t>
      </w:r>
      <w:r w:rsidR="00894BA8">
        <w:t>=0.029,</w:t>
      </w:r>
      <w:r w:rsidR="00FB4FB1" w:rsidRPr="00FB4FB1">
        <w:t xml:space="preserve"> η</w:t>
      </w:r>
      <w:r w:rsidR="00FB4FB1" w:rsidRPr="00FB4FB1">
        <w:rPr>
          <w:vertAlign w:val="subscript"/>
        </w:rPr>
        <w:t>p</w:t>
      </w:r>
      <w:r w:rsidR="00FB4FB1" w:rsidRPr="00FB4FB1">
        <w:rPr>
          <w:vertAlign w:val="superscript"/>
        </w:rPr>
        <w:t>2</w:t>
      </w:r>
      <w:r w:rsidR="00894BA8">
        <w:t>=0.14</w:t>
      </w:r>
      <w:r w:rsidR="00FB4FB1" w:rsidRPr="00FB4FB1">
        <w:t>)</w:t>
      </w:r>
      <w:r w:rsidR="00004E6F">
        <w:t xml:space="preserve"> was obtained (see </w:t>
      </w:r>
      <w:r w:rsidR="00004E6F" w:rsidRPr="00C13B0E">
        <w:t>Figure</w:t>
      </w:r>
      <w:r w:rsidR="00004E6F">
        <w:t xml:space="preserve"> 2</w:t>
      </w:r>
      <w:r w:rsidR="00FB4FB1">
        <w:t>)</w:t>
      </w:r>
      <w:r w:rsidR="00FB4FB1" w:rsidRPr="00FB4FB1">
        <w:t xml:space="preserve">. A </w:t>
      </w:r>
      <w:r w:rsidR="00FB4FB1">
        <w:t>p</w:t>
      </w:r>
      <w:r w:rsidR="00FB4FB1" w:rsidRPr="00FB4FB1">
        <w:t xml:space="preserve">ost-hoc comparison showed </w:t>
      </w:r>
      <w:r w:rsidR="00C62F1F">
        <w:t>a significant gaze cue</w:t>
      </w:r>
      <w:r w:rsidR="003A63FA">
        <w:t>ing</w:t>
      </w:r>
      <w:r w:rsidR="00C62F1F">
        <w:t xml:space="preserve"> congruence effect in action consistent condition (</w:t>
      </w:r>
      <w:r w:rsidR="00C83904">
        <w:t xml:space="preserve">48 </w:t>
      </w:r>
      <w:proofErr w:type="spellStart"/>
      <w:r w:rsidR="00C83904">
        <w:t>ms</w:t>
      </w:r>
      <w:proofErr w:type="spellEnd"/>
      <w:r w:rsidR="00C83904">
        <w:t>, difference between incongruent and congruent, p=0.001</w:t>
      </w:r>
      <w:r w:rsidR="00C62F1F">
        <w:t>)</w:t>
      </w:r>
      <w:r w:rsidR="003A18E4">
        <w:t xml:space="preserve"> </w:t>
      </w:r>
      <w:r w:rsidR="00C83904">
        <w:t xml:space="preserve">as well as a congruence effect in action inconsistent condition (23 </w:t>
      </w:r>
      <w:proofErr w:type="spellStart"/>
      <w:r w:rsidR="00C83904">
        <w:t>ms</w:t>
      </w:r>
      <w:proofErr w:type="spellEnd"/>
      <w:r w:rsidR="00C83904">
        <w:t xml:space="preserve">, p=0.036). </w:t>
      </w:r>
      <w:r w:rsidR="00D2494C">
        <w:t>Surprisingly</w:t>
      </w:r>
      <w:r w:rsidR="00C83904">
        <w:t xml:space="preserve">, there were no congruence effect in the control condition (17 </w:t>
      </w:r>
      <w:proofErr w:type="spellStart"/>
      <w:r w:rsidR="00C83904">
        <w:t>ms</w:t>
      </w:r>
      <w:proofErr w:type="spellEnd"/>
      <w:r w:rsidR="00C83904">
        <w:t>, p=0359). In addition, and less importantly,</w:t>
      </w:r>
      <w:r w:rsidR="005F3FAC">
        <w:t xml:space="preserve"> Bonferroni post-hoc</w:t>
      </w:r>
      <w:r w:rsidR="006252BC">
        <w:t xml:space="preserve"> test</w:t>
      </w:r>
      <w:r w:rsidR="005F3FAC">
        <w:t xml:space="preserve"> found significant difference </w:t>
      </w:r>
      <w:r w:rsidR="002D18B9">
        <w:t>between congruent</w:t>
      </w:r>
      <w:r w:rsidR="005F3FAC">
        <w:t xml:space="preserve"> </w:t>
      </w:r>
      <w:r w:rsidR="002D18B9">
        <w:t xml:space="preserve">action consistent and control (p=0.039) </w:t>
      </w:r>
      <w:r w:rsidR="00136F03">
        <w:t xml:space="preserve">and incongruent control </w:t>
      </w:r>
      <w:r w:rsidR="008224F6">
        <w:t>(p&lt;0.001</w:t>
      </w:r>
      <w:r w:rsidR="005F3FAC">
        <w:t>)</w:t>
      </w:r>
      <w:r w:rsidR="00F3270E">
        <w:t xml:space="preserve">. </w:t>
      </w:r>
      <w:r w:rsidR="00DE7F75">
        <w:t>T</w:t>
      </w:r>
      <w:r w:rsidR="00F3270E">
        <w:t xml:space="preserve">he difference </w:t>
      </w:r>
      <w:r w:rsidR="00DE7F75">
        <w:t>between the three mean</w:t>
      </w:r>
      <w:r w:rsidR="00451524">
        <w:t xml:space="preserve"> conditions</w:t>
      </w:r>
      <w:r w:rsidR="00DE7F75">
        <w:t xml:space="preserve"> in incongruent gaze cue was insignificant (all </w:t>
      </w:r>
      <w:proofErr w:type="spellStart"/>
      <w:r w:rsidR="00DE7F75">
        <w:t>ps</w:t>
      </w:r>
      <w:proofErr w:type="spellEnd"/>
      <w:r w:rsidR="00DE7F75">
        <w:t xml:space="preserve">&gt;0.8) </w:t>
      </w:r>
      <w:r w:rsidR="005F3FAC">
        <w:t xml:space="preserve">(cf. Figure </w:t>
      </w:r>
      <w:r w:rsidR="00F0237E">
        <w:t>2</w:t>
      </w:r>
      <w:r w:rsidR="005F3FAC">
        <w:t>).</w:t>
      </w:r>
    </w:p>
    <w:p w14:paraId="7295E87D" w14:textId="77777777" w:rsidR="00DE7F75" w:rsidRDefault="00DE7F75" w:rsidP="005F3FAC">
      <w:pPr>
        <w:ind w:firstLine="187"/>
      </w:pPr>
    </w:p>
    <w:p w14:paraId="6DBF89AA" w14:textId="77777777" w:rsidR="006E5B90" w:rsidRPr="00FB4FB1" w:rsidRDefault="006E5B90" w:rsidP="005F3FAC">
      <w:pPr>
        <w:ind w:firstLine="187"/>
      </w:pPr>
    </w:p>
    <w:p w14:paraId="371E646B" w14:textId="66925A0A" w:rsidR="00EF27F1" w:rsidRDefault="004159B0" w:rsidP="00EF27F1">
      <w:pPr>
        <w:ind w:firstLine="0"/>
        <w:jc w:val="center"/>
        <w:rPr>
          <w:rFonts w:eastAsia="Times New Roman"/>
        </w:rPr>
      </w:pPr>
      <w:r>
        <w:rPr>
          <w:rFonts w:eastAsia="Times New Roman"/>
          <w:noProof/>
        </w:rPr>
        <w:drawing>
          <wp:inline distT="0" distB="0" distL="0" distR="0" wp14:anchorId="17950E19" wp14:editId="055BA253">
            <wp:extent cx="2701925" cy="2304107"/>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4">
                      <a:extLst>
                        <a:ext uri="{28A0092B-C50C-407E-A947-70E740481C1C}">
                          <a14:useLocalDpi xmlns:a14="http://schemas.microsoft.com/office/drawing/2010/main" val="0"/>
                        </a:ext>
                      </a:extLst>
                    </a:blip>
                    <a:stretch>
                      <a:fillRect/>
                    </a:stretch>
                  </pic:blipFill>
                  <pic:spPr>
                    <a:xfrm>
                      <a:off x="0" y="0"/>
                      <a:ext cx="2720008" cy="2319527"/>
                    </a:xfrm>
                    <a:prstGeom prst="rect">
                      <a:avLst/>
                    </a:prstGeom>
                  </pic:spPr>
                </pic:pic>
              </a:graphicData>
            </a:graphic>
          </wp:inline>
        </w:drawing>
      </w:r>
    </w:p>
    <w:p w14:paraId="643B0AAB" w14:textId="77777777" w:rsidR="00EF27F1" w:rsidRDefault="00EF27F1" w:rsidP="00EF27F1">
      <w:pPr>
        <w:jc w:val="center"/>
      </w:pPr>
    </w:p>
    <w:p w14:paraId="37A373D8" w14:textId="24D081E5" w:rsidR="008F3467" w:rsidRDefault="004159B0" w:rsidP="00EF27F1">
      <w:pPr>
        <w:jc w:val="center"/>
      </w:pPr>
      <w:r>
        <w:t>Figure 2</w:t>
      </w:r>
      <w:r w:rsidR="00EF27F1">
        <w:t xml:space="preserve">: </w:t>
      </w:r>
      <w:r w:rsidR="00955D1C">
        <w:t xml:space="preserve">A </w:t>
      </w:r>
      <w:r>
        <w:t>gaze cuing by action consistency</w:t>
      </w:r>
      <w:r w:rsidR="00955D1C">
        <w:t xml:space="preserve"> interaction. Vertical bars denote 95% CI. </w:t>
      </w:r>
    </w:p>
    <w:p w14:paraId="4EB028C3" w14:textId="1419AA35" w:rsidR="00EF27F1" w:rsidRDefault="00955D1C" w:rsidP="00EF27F1">
      <w:pPr>
        <w:jc w:val="center"/>
      </w:pPr>
      <w:r>
        <w:lastRenderedPageBreak/>
        <w:t>* p&lt;0.05; ** p&lt;0.01.</w:t>
      </w:r>
    </w:p>
    <w:p w14:paraId="430D92BB" w14:textId="065C4C10" w:rsidR="00EF27F1" w:rsidRDefault="00EF27F1" w:rsidP="00EF27F1">
      <w:pPr>
        <w:ind w:firstLine="0"/>
        <w:jc w:val="center"/>
        <w:rPr>
          <w:rFonts w:eastAsia="Times New Roman"/>
        </w:rPr>
      </w:pPr>
    </w:p>
    <w:p w14:paraId="1C6DDE9C" w14:textId="1B9F4B03" w:rsidR="006E5B90" w:rsidRDefault="00A8634D" w:rsidP="006E5B90">
      <w:pPr>
        <w:ind w:firstLine="187"/>
        <w:rPr>
          <w:rFonts w:eastAsia="Times New Roman"/>
        </w:rPr>
      </w:pPr>
      <w:r>
        <w:rPr>
          <w:rFonts w:eastAsia="Times New Roman"/>
        </w:rPr>
        <w:t>Overall, t</w:t>
      </w:r>
      <w:r w:rsidR="006E5B90" w:rsidRPr="00001F65">
        <w:rPr>
          <w:rFonts w:eastAsia="Times New Roman"/>
        </w:rPr>
        <w:t xml:space="preserve">he results suggested that the </w:t>
      </w:r>
      <w:r w:rsidR="000566D8">
        <w:rPr>
          <w:rFonts w:eastAsia="Times New Roman"/>
        </w:rPr>
        <w:t xml:space="preserve">gaze cueing </w:t>
      </w:r>
      <w:r w:rsidR="00960E87">
        <w:rPr>
          <w:rFonts w:eastAsia="Times New Roman"/>
        </w:rPr>
        <w:t>was affected by action consistence. In particular, the action</w:t>
      </w:r>
      <w:r w:rsidR="00DE7C40">
        <w:rPr>
          <w:rFonts w:eastAsia="Times New Roman"/>
        </w:rPr>
        <w:t>-outcome</w:t>
      </w:r>
      <w:r w:rsidR="00960E87">
        <w:rPr>
          <w:rFonts w:eastAsia="Times New Roman"/>
        </w:rPr>
        <w:t xml:space="preserve"> consistent condition made the effect two times larger than in action inconsistent condition (43 vs 23 </w:t>
      </w:r>
      <w:proofErr w:type="spellStart"/>
      <w:r w:rsidR="00960E87">
        <w:rPr>
          <w:rFonts w:eastAsia="Times New Roman"/>
        </w:rPr>
        <w:t>ms</w:t>
      </w:r>
      <w:proofErr w:type="spellEnd"/>
      <w:r w:rsidR="00960E87">
        <w:rPr>
          <w:rFonts w:eastAsia="Times New Roman"/>
        </w:rPr>
        <w:t xml:space="preserve">). </w:t>
      </w:r>
      <w:r w:rsidR="003239AF">
        <w:rPr>
          <w:rFonts w:eastAsia="Times New Roman"/>
        </w:rPr>
        <w:t xml:space="preserve">This result is in line with </w:t>
      </w:r>
      <w:r w:rsidR="003239AF" w:rsidRPr="003239AF">
        <w:rPr>
          <w:rFonts w:eastAsia="Times New Roman"/>
          <w:highlight w:val="yellow"/>
        </w:rPr>
        <w:t>XXX</w:t>
      </w:r>
      <w:r w:rsidR="003239AF">
        <w:rPr>
          <w:rFonts w:eastAsia="Times New Roman"/>
        </w:rPr>
        <w:t xml:space="preserve">. The surprising lack of congruency effect in control condition partially can be explain by </w:t>
      </w:r>
      <w:r w:rsidR="00144F9B">
        <w:rPr>
          <w:rFonts w:eastAsia="Times New Roman"/>
        </w:rPr>
        <w:t xml:space="preserve">low </w:t>
      </w:r>
      <w:r w:rsidR="003239AF">
        <w:rPr>
          <w:rFonts w:eastAsia="Times New Roman"/>
        </w:rPr>
        <w:t>expectation</w:t>
      </w:r>
      <w:r w:rsidR="00144F9B">
        <w:rPr>
          <w:rFonts w:eastAsia="Times New Roman"/>
        </w:rPr>
        <w:t xml:space="preserve"> level</w:t>
      </w:r>
      <w:r w:rsidR="003239AF">
        <w:rPr>
          <w:rFonts w:eastAsia="Times New Roman"/>
        </w:rPr>
        <w:t xml:space="preserve">. </w:t>
      </w:r>
      <w:r w:rsidR="00144F9B">
        <w:rPr>
          <w:rFonts w:eastAsia="Times New Roman"/>
        </w:rPr>
        <w:t xml:space="preserve">Since in the control condition eye movement started in a random time between 500 and 1700 </w:t>
      </w:r>
      <w:proofErr w:type="spellStart"/>
      <w:r w:rsidR="00144F9B">
        <w:rPr>
          <w:rFonts w:eastAsia="Times New Roman"/>
        </w:rPr>
        <w:t>ms</w:t>
      </w:r>
      <w:proofErr w:type="spellEnd"/>
      <w:r w:rsidR="00144F9B">
        <w:rPr>
          <w:rFonts w:eastAsia="Times New Roman"/>
        </w:rPr>
        <w:t xml:space="preserve"> after cross appearance, participants would be much less prepared to focus in 350 </w:t>
      </w:r>
      <w:proofErr w:type="spellStart"/>
      <w:r w:rsidR="00144F9B">
        <w:rPr>
          <w:rFonts w:eastAsia="Times New Roman"/>
        </w:rPr>
        <w:t>ms</w:t>
      </w:r>
      <w:proofErr w:type="spellEnd"/>
      <w:r w:rsidR="00144F9B">
        <w:rPr>
          <w:rFonts w:eastAsia="Times New Roman"/>
        </w:rPr>
        <w:t xml:space="preserve"> for the color appearance. </w:t>
      </w:r>
      <w:r w:rsidR="006E5B90" w:rsidRPr="00001F65">
        <w:rPr>
          <w:rFonts w:eastAsia="Times New Roman"/>
        </w:rPr>
        <w:t xml:space="preserve">To test </w:t>
      </w:r>
      <w:r w:rsidR="00144F9B">
        <w:rPr>
          <w:rFonts w:eastAsia="Times New Roman"/>
        </w:rPr>
        <w:t xml:space="preserve">this, we run a correlational </w:t>
      </w:r>
      <w:r w:rsidR="009739E6">
        <w:rPr>
          <w:rFonts w:eastAsia="Times New Roman"/>
        </w:rPr>
        <w:t>analysis</w:t>
      </w:r>
      <w:r w:rsidR="00144F9B">
        <w:rPr>
          <w:rFonts w:eastAsia="Times New Roman"/>
        </w:rPr>
        <w:t xml:space="preserve"> between time of participants button press (</w:t>
      </w:r>
      <w:r w:rsidR="001C3EC0">
        <w:rPr>
          <w:rFonts w:eastAsia="Times New Roman"/>
        </w:rPr>
        <w:t xml:space="preserve">action decision, </w:t>
      </w:r>
      <w:proofErr w:type="gramStart"/>
      <w:r w:rsidR="00C30536">
        <w:rPr>
          <w:rFonts w:eastAsia="Times New Roman"/>
        </w:rPr>
        <w:t>Mean</w:t>
      </w:r>
      <w:proofErr w:type="gramEnd"/>
      <w:r w:rsidR="00C30536">
        <w:rPr>
          <w:rFonts w:eastAsia="Times New Roman"/>
        </w:rPr>
        <w:t>=</w:t>
      </w:r>
      <w:r w:rsidR="00F80164">
        <w:rPr>
          <w:rFonts w:eastAsia="Times New Roman"/>
        </w:rPr>
        <w:t xml:space="preserve">489 </w:t>
      </w:r>
      <w:proofErr w:type="spellStart"/>
      <w:r w:rsidR="00F80164">
        <w:rPr>
          <w:rFonts w:eastAsia="Times New Roman"/>
        </w:rPr>
        <w:t>ms</w:t>
      </w:r>
      <w:proofErr w:type="spellEnd"/>
      <w:r w:rsidR="00F80164">
        <w:rPr>
          <w:rFonts w:eastAsia="Times New Roman"/>
        </w:rPr>
        <w:t>)</w:t>
      </w:r>
      <w:r w:rsidR="00144F9B">
        <w:rPr>
          <w:rFonts w:eastAsia="Times New Roman"/>
        </w:rPr>
        <w:t xml:space="preserve"> and random time of eye movement start in the control condition (</w:t>
      </w:r>
      <w:r w:rsidR="00C30536">
        <w:rPr>
          <w:rFonts w:eastAsia="Times New Roman"/>
        </w:rPr>
        <w:t>Mean=</w:t>
      </w:r>
      <w:r w:rsidR="00F80164">
        <w:rPr>
          <w:rFonts w:eastAsia="Times New Roman"/>
        </w:rPr>
        <w:t xml:space="preserve">1105 </w:t>
      </w:r>
      <w:proofErr w:type="spellStart"/>
      <w:r w:rsidR="00F80164">
        <w:rPr>
          <w:rFonts w:eastAsia="Times New Roman"/>
        </w:rPr>
        <w:t>ms</w:t>
      </w:r>
      <w:proofErr w:type="spellEnd"/>
      <w:r w:rsidR="00144F9B">
        <w:rPr>
          <w:rFonts w:eastAsia="Times New Roman"/>
        </w:rPr>
        <w:t>) and color discrimination time in all six conditions.</w:t>
      </w:r>
      <w:r w:rsidR="006E5B90" w:rsidRPr="00001F65">
        <w:rPr>
          <w:rFonts w:eastAsia="Times New Roman"/>
        </w:rPr>
        <w:t xml:space="preserve"> </w:t>
      </w:r>
      <w:r w:rsidR="001C3EC0">
        <w:rPr>
          <w:rFonts w:eastAsia="Times New Roman"/>
        </w:rPr>
        <w:t>The result showed significant correlations between participants’ action decision time and RTs of six conditions (</w:t>
      </w:r>
      <w:r w:rsidR="004E6F77" w:rsidRPr="004E6F77">
        <w:rPr>
          <w:rFonts w:eastAsia="Times New Roman"/>
          <w:i/>
        </w:rPr>
        <w:t>r</w:t>
      </w:r>
      <w:r w:rsidR="004E6F77">
        <w:rPr>
          <w:rFonts w:eastAsia="Times New Roman"/>
        </w:rPr>
        <w:t xml:space="preserve"> varied between 0.472 and 0.712, </w:t>
      </w:r>
      <w:r w:rsidR="004E6F77" w:rsidRPr="004E6F77">
        <w:rPr>
          <w:rFonts w:eastAsia="Times New Roman"/>
          <w:i/>
        </w:rPr>
        <w:t>p</w:t>
      </w:r>
      <w:r w:rsidR="004E6F77">
        <w:rPr>
          <w:rFonts w:eastAsia="Times New Roman"/>
        </w:rPr>
        <w:t xml:space="preserve"> varied between 0.020 and &lt;0.001</w:t>
      </w:r>
      <w:r w:rsidR="001C3EC0">
        <w:rPr>
          <w:rFonts w:eastAsia="Times New Roman"/>
        </w:rPr>
        <w:t>)</w:t>
      </w:r>
      <w:r w:rsidR="0001071E">
        <w:rPr>
          <w:rFonts w:eastAsia="Times New Roman"/>
        </w:rPr>
        <w:t xml:space="preserve">. In contrast, there was no correlation between six conditions’ RTs and eye moving time (all </w:t>
      </w:r>
      <w:proofErr w:type="spellStart"/>
      <w:r w:rsidR="0001071E">
        <w:rPr>
          <w:rFonts w:eastAsia="Times New Roman"/>
        </w:rPr>
        <w:t>ps</w:t>
      </w:r>
      <w:proofErr w:type="spellEnd"/>
      <w:r w:rsidR="0001071E">
        <w:rPr>
          <w:rFonts w:eastAsia="Times New Roman"/>
        </w:rPr>
        <w:t>&gt;0.8).</w:t>
      </w:r>
      <w:r w:rsidR="001C3EC0">
        <w:rPr>
          <w:rFonts w:eastAsia="Times New Roman"/>
        </w:rPr>
        <w:t xml:space="preserve"> </w:t>
      </w:r>
      <w:r w:rsidR="007E4869">
        <w:rPr>
          <w:rFonts w:eastAsia="Times New Roman"/>
        </w:rPr>
        <w:t xml:space="preserve">Thus, the correlation analyses confirmed our assumption. </w:t>
      </w:r>
      <w:r w:rsidR="00153418">
        <w:rPr>
          <w:rFonts w:eastAsia="Times New Roman"/>
        </w:rPr>
        <w:t xml:space="preserve">In addition, it was obvious that the task to discriminate between the two similar colors was difficult (which was the </w:t>
      </w:r>
      <w:r w:rsidR="00153418" w:rsidRPr="00153418">
        <w:rPr>
          <w:rFonts w:eastAsia="Times New Roman"/>
          <w:highlight w:val="yellow"/>
        </w:rPr>
        <w:t>original idea – to say more here</w:t>
      </w:r>
      <w:r w:rsidR="00153418">
        <w:rPr>
          <w:rFonts w:eastAsia="Times New Roman"/>
        </w:rPr>
        <w:t>).</w:t>
      </w:r>
    </w:p>
    <w:p w14:paraId="3E01C1B7" w14:textId="201B9A0E" w:rsidR="006E5B90" w:rsidRPr="00001F65" w:rsidRDefault="00D27601" w:rsidP="006E5B90">
      <w:pPr>
        <w:ind w:firstLine="187"/>
        <w:rPr>
          <w:rFonts w:eastAsia="Times New Roman"/>
        </w:rPr>
      </w:pPr>
      <w:r>
        <w:rPr>
          <w:rFonts w:eastAsia="Times New Roman"/>
        </w:rPr>
        <w:t>T</w:t>
      </w:r>
      <w:r w:rsidR="006E5B90" w:rsidRPr="00001F65">
        <w:rPr>
          <w:rFonts w:eastAsia="Times New Roman"/>
        </w:rPr>
        <w:t xml:space="preserve">he </w:t>
      </w:r>
      <w:r w:rsidR="006E5B90">
        <w:rPr>
          <w:rFonts w:eastAsia="Times New Roman"/>
        </w:rPr>
        <w:t>experiment</w:t>
      </w:r>
      <w:r w:rsidR="006E5B90" w:rsidRPr="00001F65">
        <w:rPr>
          <w:rFonts w:eastAsia="Times New Roman"/>
        </w:rPr>
        <w:t xml:space="preserve"> </w:t>
      </w:r>
      <w:r w:rsidR="007E4869" w:rsidRPr="007E4869">
        <w:rPr>
          <w:rFonts w:eastAsia="Times New Roman"/>
          <w:highlight w:val="yellow"/>
        </w:rPr>
        <w:t>xxx</w:t>
      </w:r>
      <w:r w:rsidR="007E4869">
        <w:rPr>
          <w:rFonts w:eastAsia="Times New Roman"/>
        </w:rPr>
        <w:t>.</w:t>
      </w:r>
    </w:p>
    <w:p w14:paraId="0EC08284" w14:textId="6FDBB32A" w:rsidR="00A946D8" w:rsidRDefault="00364C44" w:rsidP="00A946D8">
      <w:pPr>
        <w:pStyle w:val="Heading1"/>
      </w:pPr>
      <w:r>
        <w:t xml:space="preserve">RT </w:t>
      </w:r>
      <w:r w:rsidR="00A946D8">
        <w:t>D</w:t>
      </w:r>
      <w:r>
        <w:t>istribution Analyse</w:t>
      </w:r>
      <w:r w:rsidR="00A946D8">
        <w:t>s</w:t>
      </w:r>
    </w:p>
    <w:p w14:paraId="5B2E7AAA" w14:textId="555CDCB6" w:rsidR="001E44AD" w:rsidRPr="00502564" w:rsidRDefault="00364C44" w:rsidP="001E44AD">
      <w:pPr>
        <w:pStyle w:val="NormalSectionStart"/>
      </w:pPr>
      <w:r>
        <w:t xml:space="preserve">RT distribution analyses were conducted on data tracing temporal dynamics of the </w:t>
      </w:r>
      <w:r w:rsidR="00230C6C">
        <w:t xml:space="preserve">gaze cuing </w:t>
      </w:r>
      <w:r w:rsidR="00B35706">
        <w:t>effect</w:t>
      </w:r>
      <w:r w:rsidR="00D0164C">
        <w:t xml:space="preserve">, </w:t>
      </w:r>
      <w:r w:rsidR="00A31845">
        <w:t xml:space="preserve">testing whether it occurs at earlier RTs and then decays or is developed over time. </w:t>
      </w:r>
      <w:proofErr w:type="gramStart"/>
      <w:r w:rsidR="009017DB">
        <w:t>This analyses</w:t>
      </w:r>
      <w:proofErr w:type="gramEnd"/>
      <w:r w:rsidR="009017DB">
        <w:t xml:space="preserve"> are important in that they can</w:t>
      </w:r>
      <w:r w:rsidR="00A31845">
        <w:t xml:space="preserve"> provide </w:t>
      </w:r>
      <w:r w:rsidR="00A31845" w:rsidRPr="00A31845">
        <w:t xml:space="preserve">information </w:t>
      </w:r>
      <w:r w:rsidR="00A61790">
        <w:t>on</w:t>
      </w:r>
      <w:r w:rsidR="00A31845" w:rsidRPr="00A31845">
        <w:t xml:space="preserve"> the level of </w:t>
      </w:r>
      <w:r w:rsidR="00A31845" w:rsidRPr="00D9726D">
        <w:rPr>
          <w:highlight w:val="yellow"/>
        </w:rPr>
        <w:t>automaticity</w:t>
      </w:r>
      <w:r w:rsidR="00A31845" w:rsidRPr="00A31845">
        <w:t xml:space="preserve"> of the effect</w:t>
      </w:r>
      <w:r w:rsidR="009017DB">
        <w:t xml:space="preserve"> given that the effect was influenced by action consistency.</w:t>
      </w:r>
    </w:p>
    <w:p w14:paraId="2124B08A" w14:textId="1E8D28E9" w:rsidR="001E44AD" w:rsidRPr="001E44AD" w:rsidRDefault="00040B88" w:rsidP="00F82EB8">
      <w:pPr>
        <w:pStyle w:val="NormalSectionStart"/>
        <w:ind w:firstLine="187"/>
      </w:pPr>
      <w:r>
        <w:t>To make the analyses clearer, t</w:t>
      </w:r>
      <w:r w:rsidR="00C94ED3">
        <w:t xml:space="preserve">he data were not </w:t>
      </w:r>
      <w:r w:rsidR="00A31845">
        <w:t>reduce</w:t>
      </w:r>
      <w:r w:rsidR="00C94ED3">
        <w:t>d</w:t>
      </w:r>
      <w:r w:rsidR="00A31845">
        <w:t xml:space="preserve"> into the effect size as it is often done (e.g., Proctor, Miles, &amp; Baroni, 2011)</w:t>
      </w:r>
      <w:r w:rsidR="00A31845" w:rsidRPr="001E44AD">
        <w:t xml:space="preserve"> </w:t>
      </w:r>
      <w:r w:rsidR="005B1FFA">
        <w:t>and</w:t>
      </w:r>
      <w:r w:rsidR="00A31845">
        <w:t xml:space="preserve"> the conditions</w:t>
      </w:r>
      <w:r w:rsidR="005B1FFA">
        <w:t xml:space="preserve"> were</w:t>
      </w:r>
      <w:r w:rsidR="005B1FFA" w:rsidRPr="005B1FFA">
        <w:t xml:space="preserve"> </w:t>
      </w:r>
      <w:r w:rsidR="005B1FFA">
        <w:t>preserved</w:t>
      </w:r>
      <w:r w:rsidR="00A31845">
        <w:t>.</w:t>
      </w:r>
      <w:r w:rsidR="007B6670">
        <w:t xml:space="preserve"> Individual participants’ data were rank-ordered per pitch and spatial position and then divided into five bins of 20%.</w:t>
      </w:r>
      <w:r w:rsidR="00A31845">
        <w:t xml:space="preserve"> </w:t>
      </w:r>
      <w:r w:rsidR="001E44AD" w:rsidRPr="007B6670">
        <w:t xml:space="preserve">Mean RTs per subject and per condition were computed </w:t>
      </w:r>
      <w:r w:rsidR="007B6670" w:rsidRPr="007B6670">
        <w:t>per</w:t>
      </w:r>
      <w:r w:rsidR="001E44AD" w:rsidRPr="007B6670">
        <w:t xml:space="preserve"> bin. </w:t>
      </w:r>
      <w:r w:rsidR="006D240D" w:rsidRPr="006D240D">
        <w:t xml:space="preserve">Within-subject </w:t>
      </w:r>
      <w:proofErr w:type="spellStart"/>
      <w:r w:rsidR="006D240D" w:rsidRPr="006D240D">
        <w:t>rANOVAs</w:t>
      </w:r>
      <w:proofErr w:type="spellEnd"/>
      <w:r w:rsidR="006D240D" w:rsidRPr="006D240D">
        <w:t xml:space="preserve"> </w:t>
      </w:r>
      <w:r w:rsidR="001E44AD" w:rsidRPr="006D240D">
        <w:t xml:space="preserve">with factors </w:t>
      </w:r>
      <w:r w:rsidR="00285BF9">
        <w:t>gaze cuing</w:t>
      </w:r>
      <w:r w:rsidR="001E44AD" w:rsidRPr="006D240D">
        <w:t xml:space="preserve"> (</w:t>
      </w:r>
      <w:r w:rsidR="00285BF9">
        <w:t>congruent</w:t>
      </w:r>
      <w:r w:rsidR="001E44AD" w:rsidRPr="006D240D">
        <w:t xml:space="preserve"> vs. </w:t>
      </w:r>
      <w:r w:rsidR="00285BF9">
        <w:t>incongruent</w:t>
      </w:r>
      <w:r w:rsidR="001E44AD" w:rsidRPr="006D240D">
        <w:t xml:space="preserve">), </w:t>
      </w:r>
      <w:r w:rsidR="00285BF9">
        <w:t>action consistency</w:t>
      </w:r>
      <w:r w:rsidR="001E44AD" w:rsidRPr="006D240D">
        <w:t xml:space="preserve"> (</w:t>
      </w:r>
      <w:r w:rsidR="00285BF9">
        <w:t>consistent</w:t>
      </w:r>
      <w:r w:rsidR="001E44AD" w:rsidRPr="006D240D">
        <w:t xml:space="preserve"> vs. </w:t>
      </w:r>
      <w:r w:rsidR="00285BF9">
        <w:t>inconsistent</w:t>
      </w:r>
      <w:r w:rsidR="001E44AD" w:rsidRPr="006D240D">
        <w:t xml:space="preserve"> vs. </w:t>
      </w:r>
      <w:r w:rsidR="00285BF9">
        <w:t>control</w:t>
      </w:r>
      <w:r w:rsidR="001E44AD" w:rsidRPr="006D240D">
        <w:t>) and bin</w:t>
      </w:r>
      <w:r w:rsidR="0011327E">
        <w:t>s</w:t>
      </w:r>
      <w:r w:rsidR="001E44AD" w:rsidRPr="006D240D">
        <w:t xml:space="preserve"> (1-5) </w:t>
      </w:r>
      <w:r w:rsidR="006D240D" w:rsidRPr="006D240D">
        <w:t>were</w:t>
      </w:r>
      <w:r w:rsidR="001E44AD" w:rsidRPr="006D240D">
        <w:t xml:space="preserve"> conducted</w:t>
      </w:r>
      <w:r w:rsidR="00285BF9">
        <w:t>.</w:t>
      </w:r>
      <w:r w:rsidR="001E44AD" w:rsidRPr="006D240D">
        <w:t xml:space="preserve"> </w:t>
      </w:r>
      <w:r w:rsidR="00E5491F">
        <w:t xml:space="preserve">To avoid </w:t>
      </w:r>
      <w:proofErr w:type="spellStart"/>
      <w:r w:rsidR="00E5491F">
        <w:t>multicomparison</w:t>
      </w:r>
      <w:proofErr w:type="spellEnd"/>
      <w:r w:rsidR="00E5491F">
        <w:t xml:space="preserve"> problem, the </w:t>
      </w:r>
      <w:proofErr w:type="spellStart"/>
      <w:r w:rsidR="00E5491F">
        <w:t>rANOVAs</w:t>
      </w:r>
      <w:proofErr w:type="spellEnd"/>
      <w:r w:rsidR="00E5491F">
        <w:t xml:space="preserve"> were run per action condition separately. </w:t>
      </w:r>
      <w:r w:rsidR="00DA69D2" w:rsidRPr="006D240D">
        <w:t>Ob</w:t>
      </w:r>
      <w:r w:rsidR="00DA69D2">
        <w:t xml:space="preserve">viously, some results of </w:t>
      </w:r>
      <w:r w:rsidR="00785105">
        <w:t>the</w:t>
      </w:r>
      <w:r w:rsidR="00DA69D2">
        <w:t xml:space="preserve"> analyses mirrored the results presented above. </w:t>
      </w:r>
      <w:r w:rsidR="00F342D9">
        <w:t>These were only reported and not commented. Since the key interest was the time distribution of the effect</w:t>
      </w:r>
      <w:r w:rsidR="00EC6BEF">
        <w:t xml:space="preserve"> across bins </w:t>
      </w:r>
      <w:r w:rsidR="00FB350F">
        <w:t>and action consistency</w:t>
      </w:r>
      <w:r w:rsidR="00F342D9">
        <w:t xml:space="preserve">, the 3-way interactions </w:t>
      </w:r>
      <w:r w:rsidR="00EC6BEF">
        <w:t>were submitted to Bonferroni post-hoc test independently of significance of the interactions. G</w:t>
      </w:r>
      <w:r w:rsidR="001E44AD" w:rsidRPr="001E44AD">
        <w:t>raphic</w:t>
      </w:r>
      <w:r w:rsidR="00EC6BEF">
        <w:t>al</w:t>
      </w:r>
      <w:r w:rsidR="001E44AD" w:rsidRPr="001E44AD">
        <w:t xml:space="preserve"> representation of</w:t>
      </w:r>
      <w:r w:rsidR="004D2810">
        <w:t xml:space="preserve"> the</w:t>
      </w:r>
      <w:r w:rsidR="001E44AD" w:rsidRPr="001E44AD">
        <w:t xml:space="preserve"> results </w:t>
      </w:r>
      <w:r w:rsidR="007577D5">
        <w:t>is</w:t>
      </w:r>
      <w:r w:rsidR="00EC6BEF">
        <w:t xml:space="preserve"> shown in</w:t>
      </w:r>
      <w:r w:rsidR="00B35706">
        <w:t xml:space="preserve"> Figure 3</w:t>
      </w:r>
      <w:r w:rsidR="001E44AD" w:rsidRPr="001E44AD">
        <w:t xml:space="preserve">. </w:t>
      </w:r>
    </w:p>
    <w:p w14:paraId="3E6239C0" w14:textId="2C139A6A" w:rsidR="00B41BD3" w:rsidRDefault="00E45188" w:rsidP="00B720B7">
      <w:pPr>
        <w:pStyle w:val="NormalSectionStart"/>
        <w:ind w:firstLine="187"/>
      </w:pPr>
      <w:r>
        <w:t>Bin analysis</w:t>
      </w:r>
      <w:r w:rsidR="001E44AD" w:rsidRPr="001E44AD">
        <w:t xml:space="preserve"> </w:t>
      </w:r>
      <w:r>
        <w:t xml:space="preserve">of </w:t>
      </w:r>
      <w:r w:rsidR="00477D36">
        <w:t>action-outcome consistency</w:t>
      </w:r>
      <w:r w:rsidR="001E44AD" w:rsidRPr="001E44AD">
        <w:t xml:space="preserve"> showed a signifi</w:t>
      </w:r>
      <w:r w:rsidR="00D45DB8">
        <w:t xml:space="preserve">cant main effect of </w:t>
      </w:r>
      <w:r w:rsidR="009A01CD">
        <w:t>gaze cuing</w:t>
      </w:r>
      <w:r w:rsidR="00D45DB8">
        <w:t xml:space="preserve"> (</w:t>
      </w:r>
      <w:proofErr w:type="gramStart"/>
      <w:r w:rsidR="00D45DB8">
        <w:t>F</w:t>
      </w:r>
      <w:r w:rsidR="001E44AD" w:rsidRPr="001E44AD">
        <w:t>(</w:t>
      </w:r>
      <w:proofErr w:type="gramEnd"/>
      <w:r w:rsidR="009A01CD">
        <w:t>1</w:t>
      </w:r>
      <w:r w:rsidR="00D45DB8">
        <w:t>,</w:t>
      </w:r>
      <w:proofErr w:type="gramStart"/>
      <w:r w:rsidR="009A01CD">
        <w:t>9</w:t>
      </w:r>
      <w:r w:rsidR="00D45DB8">
        <w:t>)=</w:t>
      </w:r>
      <w:proofErr w:type="gramEnd"/>
      <w:r w:rsidR="001E44AD">
        <w:t>4</w:t>
      </w:r>
      <w:r w:rsidR="009A01CD">
        <w:t>8</w:t>
      </w:r>
      <w:r w:rsidR="001E44AD">
        <w:t>.</w:t>
      </w:r>
      <w:r w:rsidR="009A01CD">
        <w:t>45</w:t>
      </w:r>
      <w:r w:rsidR="001E44AD">
        <w:t xml:space="preserve">, </w:t>
      </w:r>
      <w:r w:rsidR="00D45DB8">
        <w:t>p</w:t>
      </w:r>
      <w:r w:rsidR="009A01CD">
        <w:t>&lt;0.001</w:t>
      </w:r>
      <w:r w:rsidR="001E44AD" w:rsidRPr="001E44AD">
        <w:t>, η</w:t>
      </w:r>
      <w:r w:rsidR="001E44AD" w:rsidRPr="001E44AD">
        <w:rPr>
          <w:vertAlign w:val="subscript"/>
        </w:rPr>
        <w:t>p</w:t>
      </w:r>
      <w:r w:rsidR="001E44AD" w:rsidRPr="001E44AD">
        <w:rPr>
          <w:vertAlign w:val="superscript"/>
        </w:rPr>
        <w:t>2</w:t>
      </w:r>
      <w:r w:rsidR="00D45DB8">
        <w:t>=</w:t>
      </w:r>
      <w:r w:rsidR="009A01CD">
        <w:t>0.84</w:t>
      </w:r>
      <w:r w:rsidR="001E44AD" w:rsidRPr="001E44AD">
        <w:t>)</w:t>
      </w:r>
      <w:r w:rsidR="003A0FB2">
        <w:t xml:space="preserve"> and</w:t>
      </w:r>
      <w:r w:rsidR="009A01CD">
        <w:t xml:space="preserve"> expected</w:t>
      </w:r>
      <w:r w:rsidR="006C5A36">
        <w:t xml:space="preserve"> </w:t>
      </w:r>
      <w:r w:rsidR="001E44AD" w:rsidRPr="001E44AD">
        <w:t xml:space="preserve">main effect of </w:t>
      </w:r>
      <w:r w:rsidR="009A01CD">
        <w:t>bins</w:t>
      </w:r>
      <w:r w:rsidR="001A37B3">
        <w:t xml:space="preserve"> (</w:t>
      </w:r>
      <w:proofErr w:type="gramStart"/>
      <w:r w:rsidR="001A37B3">
        <w:t>F(</w:t>
      </w:r>
      <w:proofErr w:type="gramEnd"/>
      <w:r w:rsidR="001A37B3">
        <w:t>4</w:t>
      </w:r>
      <w:r w:rsidR="001E44AD" w:rsidRPr="001E44AD">
        <w:t>,</w:t>
      </w:r>
      <w:proofErr w:type="gramStart"/>
      <w:r w:rsidR="001E44AD" w:rsidRPr="001E44AD">
        <w:t>3</w:t>
      </w:r>
      <w:r w:rsidR="001A37B3">
        <w:t>6</w:t>
      </w:r>
      <w:r w:rsidR="001E44AD" w:rsidRPr="001E44AD">
        <w:t>)=</w:t>
      </w:r>
      <w:proofErr w:type="gramEnd"/>
      <w:r w:rsidR="001A37B3">
        <w:t>357.79</w:t>
      </w:r>
      <w:r w:rsidR="00A02C88">
        <w:t>, p</w:t>
      </w:r>
      <w:r w:rsidR="001A37B3">
        <w:t>&lt;0.001</w:t>
      </w:r>
      <w:r w:rsidR="001E44AD" w:rsidRPr="001E44AD">
        <w:t>, η</w:t>
      </w:r>
      <w:r w:rsidR="001E44AD" w:rsidRPr="001E44AD">
        <w:rPr>
          <w:vertAlign w:val="subscript"/>
        </w:rPr>
        <w:t>p</w:t>
      </w:r>
      <w:r w:rsidR="001E44AD" w:rsidRPr="001E44AD">
        <w:rPr>
          <w:vertAlign w:val="superscript"/>
        </w:rPr>
        <w:t>2</w:t>
      </w:r>
      <w:r w:rsidR="00A02C88">
        <w:t>=</w:t>
      </w:r>
      <w:r w:rsidR="001A37B3">
        <w:t>0.98</w:t>
      </w:r>
      <w:r w:rsidR="001E44AD" w:rsidRPr="001E44AD">
        <w:t>)</w:t>
      </w:r>
      <w:r w:rsidR="003A0FB2">
        <w:t>.</w:t>
      </w:r>
      <w:r w:rsidR="006C5A36">
        <w:t xml:space="preserve"> </w:t>
      </w:r>
      <w:r w:rsidR="003A0FB2" w:rsidRPr="001E44AD">
        <w:t>Post-hoc analysis showed that significant difference</w:t>
      </w:r>
      <w:r w:rsidR="003A0FB2">
        <w:t>s</w:t>
      </w:r>
      <w:r w:rsidR="003A0FB2" w:rsidRPr="001E44AD">
        <w:t xml:space="preserve"> </w:t>
      </w:r>
      <w:r w:rsidR="003A0FB2">
        <w:t>were</w:t>
      </w:r>
      <w:r w:rsidR="003A0FB2" w:rsidRPr="001E44AD">
        <w:t xml:space="preserve"> present across all bins (all </w:t>
      </w:r>
      <w:proofErr w:type="spellStart"/>
      <w:r w:rsidR="003A0FB2" w:rsidRPr="001E44AD">
        <w:t>ps</w:t>
      </w:r>
      <w:proofErr w:type="spellEnd"/>
      <w:r w:rsidR="003A0FB2" w:rsidRPr="001E44AD">
        <w:t xml:space="preserve">&lt;0.001). </w:t>
      </w:r>
      <w:r w:rsidR="003A0FB2">
        <w:t xml:space="preserve">The </w:t>
      </w:r>
      <w:r w:rsidR="006C5A36">
        <w:t xml:space="preserve">interaction between </w:t>
      </w:r>
      <w:r w:rsidR="0089386B">
        <w:t>bins</w:t>
      </w:r>
      <w:r w:rsidR="006C5A36">
        <w:t xml:space="preserve"> and </w:t>
      </w:r>
      <w:r w:rsidR="0089386B">
        <w:t>gaze cuing</w:t>
      </w:r>
      <w:r w:rsidR="003A0FB2">
        <w:t xml:space="preserve"> was also significant</w:t>
      </w:r>
      <w:r w:rsidR="006C5A36">
        <w:t xml:space="preserve"> (</w:t>
      </w:r>
      <w:proofErr w:type="gramStart"/>
      <w:r w:rsidR="00B471C7">
        <w:t>F</w:t>
      </w:r>
      <w:r w:rsidR="00B471C7" w:rsidRPr="001E44AD">
        <w:t>(</w:t>
      </w:r>
      <w:proofErr w:type="gramEnd"/>
      <w:r w:rsidR="006663AF">
        <w:t>4,</w:t>
      </w:r>
      <w:proofErr w:type="gramStart"/>
      <w:r w:rsidR="006663AF">
        <w:t>36)=</w:t>
      </w:r>
      <w:proofErr w:type="gramEnd"/>
      <w:r w:rsidR="006663AF">
        <w:t>2</w:t>
      </w:r>
      <w:r w:rsidR="00B471C7">
        <w:t>.7</w:t>
      </w:r>
      <w:r w:rsidR="006663AF">
        <w:t>6, p=0.042</w:t>
      </w:r>
      <w:r w:rsidR="00B471C7" w:rsidRPr="001E44AD">
        <w:t>, η</w:t>
      </w:r>
      <w:r w:rsidR="00B471C7" w:rsidRPr="001E44AD">
        <w:rPr>
          <w:vertAlign w:val="subscript"/>
        </w:rPr>
        <w:t>p</w:t>
      </w:r>
      <w:r w:rsidR="00B471C7" w:rsidRPr="001E44AD">
        <w:rPr>
          <w:vertAlign w:val="superscript"/>
        </w:rPr>
        <w:t>2</w:t>
      </w:r>
      <w:r w:rsidR="00B471C7">
        <w:t>=</w:t>
      </w:r>
      <w:r w:rsidR="00B471C7" w:rsidRPr="001E44AD">
        <w:t>0.</w:t>
      </w:r>
      <w:r w:rsidR="006663AF">
        <w:t>24</w:t>
      </w:r>
      <w:r w:rsidR="006C5A36">
        <w:t>)</w:t>
      </w:r>
      <w:r w:rsidR="001E44AD" w:rsidRPr="001E44AD">
        <w:t xml:space="preserve">. </w:t>
      </w:r>
      <w:r w:rsidR="000641FD">
        <w:t xml:space="preserve">The post-hoc test revealed </w:t>
      </w:r>
      <w:r w:rsidR="00C02E3A">
        <w:t xml:space="preserve">differences </w:t>
      </w:r>
      <w:r w:rsidR="004D447E">
        <w:t>between congruent</w:t>
      </w:r>
      <w:r w:rsidR="00C02E3A">
        <w:t xml:space="preserve"> and incongruent conditions across all bins (p varied from 0.022 to &lt;0.001) but the fifth one (p&gt;0.5) </w:t>
      </w:r>
      <w:r w:rsidR="000641FD">
        <w:t>(cf. Figure 3).</w:t>
      </w:r>
      <w:r w:rsidR="004D343C">
        <w:t xml:space="preserve"> </w:t>
      </w:r>
      <w:r w:rsidR="0002406F">
        <w:t xml:space="preserve"> </w:t>
      </w:r>
    </w:p>
    <w:p w14:paraId="727BCFFC" w14:textId="60154918" w:rsidR="00D9726D" w:rsidRDefault="00203076" w:rsidP="00203076">
      <w:r>
        <w:t>Bin analysis</w:t>
      </w:r>
      <w:r w:rsidRPr="001E44AD">
        <w:t xml:space="preserve"> </w:t>
      </w:r>
      <w:r>
        <w:t>of action-outcome inconsistency</w:t>
      </w:r>
      <w:r w:rsidRPr="001E44AD">
        <w:t xml:space="preserve"> showed a signifi</w:t>
      </w:r>
      <w:r>
        <w:t>cant main effect of gaze cuing (</w:t>
      </w:r>
      <w:proofErr w:type="gramStart"/>
      <w:r>
        <w:t>F</w:t>
      </w:r>
      <w:r w:rsidRPr="001E44AD">
        <w:t>(</w:t>
      </w:r>
      <w:proofErr w:type="gramEnd"/>
      <w:r>
        <w:t>1,</w:t>
      </w:r>
      <w:proofErr w:type="gramStart"/>
      <w:r w:rsidR="00B70469">
        <w:t>7</w:t>
      </w:r>
      <w:r>
        <w:t>)=</w:t>
      </w:r>
      <w:proofErr w:type="gramEnd"/>
      <w:r w:rsidR="00B70469">
        <w:t>20.28</w:t>
      </w:r>
      <w:r>
        <w:t>, p</w:t>
      </w:r>
      <w:r w:rsidR="00B70469">
        <w:t>=</w:t>
      </w:r>
      <w:r>
        <w:t>0.00</w:t>
      </w:r>
      <w:r w:rsidR="00B70469">
        <w:t>3</w:t>
      </w:r>
      <w:r w:rsidRPr="001E44AD">
        <w:t>, η</w:t>
      </w:r>
      <w:r w:rsidRPr="001E44AD">
        <w:rPr>
          <w:vertAlign w:val="subscript"/>
        </w:rPr>
        <w:t>p</w:t>
      </w:r>
      <w:r w:rsidRPr="001E44AD">
        <w:rPr>
          <w:vertAlign w:val="superscript"/>
        </w:rPr>
        <w:t>2</w:t>
      </w:r>
      <w:r>
        <w:t>=</w:t>
      </w:r>
      <w:r w:rsidR="00B70469">
        <w:t>0.7</w:t>
      </w:r>
      <w:r>
        <w:t>4</w:t>
      </w:r>
      <w:r w:rsidRPr="001E44AD">
        <w:t>)</w:t>
      </w:r>
      <w:r>
        <w:t xml:space="preserve">, </w:t>
      </w:r>
      <w:r w:rsidRPr="001E44AD">
        <w:t xml:space="preserve">main effect of </w:t>
      </w:r>
      <w:r>
        <w:t>bins (</w:t>
      </w:r>
      <w:proofErr w:type="gramStart"/>
      <w:r>
        <w:t>F(</w:t>
      </w:r>
      <w:proofErr w:type="gramEnd"/>
      <w:r>
        <w:t>4</w:t>
      </w:r>
      <w:r w:rsidR="00B70469">
        <w:t>,</w:t>
      </w:r>
      <w:proofErr w:type="gramStart"/>
      <w:r w:rsidR="00B70469">
        <w:t>28</w:t>
      </w:r>
      <w:r w:rsidRPr="001E44AD">
        <w:t>)=</w:t>
      </w:r>
      <w:proofErr w:type="gramEnd"/>
      <w:r>
        <w:t>3</w:t>
      </w:r>
      <w:r w:rsidR="00B70469">
        <w:t>34</w:t>
      </w:r>
      <w:r>
        <w:t>.</w:t>
      </w:r>
      <w:r w:rsidR="00B70469">
        <w:t>23</w:t>
      </w:r>
      <w:r>
        <w:t>, p&lt;0.001</w:t>
      </w:r>
      <w:r w:rsidRPr="001E44AD">
        <w:t>, η</w:t>
      </w:r>
      <w:r w:rsidRPr="001E44AD">
        <w:rPr>
          <w:vertAlign w:val="subscript"/>
        </w:rPr>
        <w:t>p</w:t>
      </w:r>
      <w:r w:rsidRPr="001E44AD">
        <w:rPr>
          <w:vertAlign w:val="superscript"/>
        </w:rPr>
        <w:t>2</w:t>
      </w:r>
      <w:r>
        <w:t>=0.98</w:t>
      </w:r>
      <w:r w:rsidRPr="001E44AD">
        <w:t>)</w:t>
      </w:r>
      <w:r>
        <w:t xml:space="preserve">, and </w:t>
      </w:r>
      <w:r w:rsidR="00B70469">
        <w:t>no</w:t>
      </w:r>
      <w:r>
        <w:t xml:space="preserve"> interaction between bins and gaze cuing (</w:t>
      </w:r>
      <w:proofErr w:type="gramStart"/>
      <w:r>
        <w:t>F</w:t>
      </w:r>
      <w:r w:rsidRPr="001E44AD">
        <w:t>(</w:t>
      </w:r>
      <w:proofErr w:type="gramEnd"/>
      <w:r>
        <w:t>4,</w:t>
      </w:r>
      <w:proofErr w:type="gramStart"/>
      <w:r w:rsidR="00B70469">
        <w:t>28</w:t>
      </w:r>
      <w:r>
        <w:t>)=</w:t>
      </w:r>
      <w:proofErr w:type="gramEnd"/>
      <w:r w:rsidR="00B70469">
        <w:t>1.20</w:t>
      </w:r>
      <w:r>
        <w:t>, p=0.</w:t>
      </w:r>
      <w:r w:rsidR="00B70469">
        <w:t>331</w:t>
      </w:r>
      <w:r w:rsidRPr="001E44AD">
        <w:t>, η</w:t>
      </w:r>
      <w:r w:rsidRPr="001E44AD">
        <w:rPr>
          <w:vertAlign w:val="subscript"/>
        </w:rPr>
        <w:t>p</w:t>
      </w:r>
      <w:r w:rsidRPr="001E44AD">
        <w:rPr>
          <w:vertAlign w:val="superscript"/>
        </w:rPr>
        <w:t>2</w:t>
      </w:r>
      <w:r>
        <w:t>=</w:t>
      </w:r>
      <w:r w:rsidRPr="001E44AD">
        <w:t>0.</w:t>
      </w:r>
      <w:r w:rsidR="00B70469">
        <w:t>15</w:t>
      </w:r>
      <w:r>
        <w:t>)</w:t>
      </w:r>
      <w:r w:rsidRPr="001E44AD">
        <w:t xml:space="preserve">. Post-hoc analysis </w:t>
      </w:r>
      <w:r w:rsidR="007146D6">
        <w:t xml:space="preserve">on bin main effect </w:t>
      </w:r>
      <w:r w:rsidRPr="001E44AD">
        <w:t>showed that significant difference</w:t>
      </w:r>
      <w:r>
        <w:t>s</w:t>
      </w:r>
      <w:r w:rsidRPr="001E44AD">
        <w:t xml:space="preserve"> </w:t>
      </w:r>
      <w:r>
        <w:t>were</w:t>
      </w:r>
      <w:r w:rsidRPr="001E44AD">
        <w:t xml:space="preserve"> present across all bins (all </w:t>
      </w:r>
      <w:proofErr w:type="spellStart"/>
      <w:r w:rsidRPr="001E44AD">
        <w:t>ps</w:t>
      </w:r>
      <w:proofErr w:type="spellEnd"/>
      <w:r w:rsidRPr="001E44AD">
        <w:t xml:space="preserve">&lt;0.001). </w:t>
      </w:r>
      <w:r>
        <w:t xml:space="preserve">The post-hoc test </w:t>
      </w:r>
      <w:r w:rsidR="00514AE5">
        <w:t xml:space="preserve">on the interaction </w:t>
      </w:r>
      <w:r>
        <w:t xml:space="preserve">revealed differences </w:t>
      </w:r>
      <w:r w:rsidR="0068582C">
        <w:t>in bin 3</w:t>
      </w:r>
      <w:r w:rsidR="00415A21">
        <w:t xml:space="preserve"> (p=0.005)</w:t>
      </w:r>
      <w:r w:rsidR="0068582C">
        <w:t xml:space="preserve"> and 4</w:t>
      </w:r>
      <w:r w:rsidR="00415A21">
        <w:t xml:space="preserve"> (p=0.005)</w:t>
      </w:r>
      <w:r w:rsidR="0068582C">
        <w:t xml:space="preserve"> only. </w:t>
      </w:r>
      <w:r w:rsidR="00415A21">
        <w:t xml:space="preserve">The difference in bin 1 and </w:t>
      </w:r>
      <w:r w:rsidR="00D40820">
        <w:t>5</w:t>
      </w:r>
      <w:r w:rsidR="00415A21">
        <w:t xml:space="preserve"> was highly insignificant</w:t>
      </w:r>
      <w:r>
        <w:t xml:space="preserve"> (</w:t>
      </w:r>
      <w:r w:rsidR="00FF5418">
        <w:t>p=1.0</w:t>
      </w:r>
      <w:r>
        <w:t>)</w:t>
      </w:r>
      <w:r w:rsidR="00415A21">
        <w:t>, and in bin 2 close to significant level (p=0.08).</w:t>
      </w:r>
    </w:p>
    <w:p w14:paraId="2BA1F84F" w14:textId="188513ED" w:rsidR="00F50CBD" w:rsidRDefault="00F50CBD" w:rsidP="00203076">
      <w:r>
        <w:t>Bin analysis</w:t>
      </w:r>
      <w:r w:rsidRPr="001E44AD">
        <w:t xml:space="preserve"> </w:t>
      </w:r>
      <w:r>
        <w:t>of control condition was very similar to the previous result: it</w:t>
      </w:r>
      <w:r w:rsidRPr="001E44AD">
        <w:t xml:space="preserve"> showed a signifi</w:t>
      </w:r>
      <w:r>
        <w:t>cant main effect of gaze cuing (</w:t>
      </w:r>
      <w:proofErr w:type="gramStart"/>
      <w:r>
        <w:t>F</w:t>
      </w:r>
      <w:r w:rsidRPr="001E44AD">
        <w:t>(</w:t>
      </w:r>
      <w:proofErr w:type="gramEnd"/>
      <w:r>
        <w:t>1,</w:t>
      </w:r>
      <w:proofErr w:type="gramStart"/>
      <w:r w:rsidR="003E3AFD">
        <w:t>8</w:t>
      </w:r>
      <w:r>
        <w:t>)=</w:t>
      </w:r>
      <w:proofErr w:type="gramEnd"/>
      <w:r w:rsidR="003E3AFD">
        <w:t>23</w:t>
      </w:r>
      <w:r>
        <w:t>.</w:t>
      </w:r>
      <w:r w:rsidR="003E3AFD">
        <w:t>43</w:t>
      </w:r>
      <w:r>
        <w:t>, p=0.00</w:t>
      </w:r>
      <w:r w:rsidR="003E3AFD">
        <w:t>1</w:t>
      </w:r>
      <w:r w:rsidRPr="001E44AD">
        <w:t>, η</w:t>
      </w:r>
      <w:r w:rsidRPr="001E44AD">
        <w:rPr>
          <w:vertAlign w:val="subscript"/>
        </w:rPr>
        <w:t>p</w:t>
      </w:r>
      <w:r w:rsidRPr="001E44AD">
        <w:rPr>
          <w:vertAlign w:val="superscript"/>
        </w:rPr>
        <w:t>2</w:t>
      </w:r>
      <w:r>
        <w:t>=0.7</w:t>
      </w:r>
      <w:r w:rsidR="003E3AFD">
        <w:t>5</w:t>
      </w:r>
      <w:r w:rsidRPr="001E44AD">
        <w:t>)</w:t>
      </w:r>
      <w:r>
        <w:t xml:space="preserve">, </w:t>
      </w:r>
      <w:r w:rsidRPr="001E44AD">
        <w:t xml:space="preserve">main effect of </w:t>
      </w:r>
      <w:r>
        <w:t>bins (</w:t>
      </w:r>
      <w:proofErr w:type="gramStart"/>
      <w:r>
        <w:t>F(</w:t>
      </w:r>
      <w:proofErr w:type="gramEnd"/>
      <w:r>
        <w:t>4,</w:t>
      </w:r>
      <w:proofErr w:type="gramStart"/>
      <w:r w:rsidR="003E3AFD">
        <w:t>32</w:t>
      </w:r>
      <w:r w:rsidRPr="001E44AD">
        <w:t>)=</w:t>
      </w:r>
      <w:proofErr w:type="gramEnd"/>
      <w:r w:rsidR="003E3AFD">
        <w:t>835.92</w:t>
      </w:r>
      <w:r>
        <w:t>, p&lt;0.001</w:t>
      </w:r>
      <w:r w:rsidRPr="001E44AD">
        <w:t>, η</w:t>
      </w:r>
      <w:r w:rsidRPr="001E44AD">
        <w:rPr>
          <w:vertAlign w:val="subscript"/>
        </w:rPr>
        <w:t>p</w:t>
      </w:r>
      <w:r w:rsidRPr="001E44AD">
        <w:rPr>
          <w:vertAlign w:val="superscript"/>
        </w:rPr>
        <w:t>2</w:t>
      </w:r>
      <w:r>
        <w:t>=</w:t>
      </w:r>
      <w:r w:rsidR="003E3AFD">
        <w:t>0.99</w:t>
      </w:r>
      <w:r w:rsidRPr="001E44AD">
        <w:t>)</w:t>
      </w:r>
      <w:r>
        <w:t>, and no interaction between bins and gaze cuing (</w:t>
      </w:r>
      <w:proofErr w:type="gramStart"/>
      <w:r>
        <w:t>F</w:t>
      </w:r>
      <w:r w:rsidRPr="001E44AD">
        <w:t>(</w:t>
      </w:r>
      <w:proofErr w:type="gramEnd"/>
      <w:r>
        <w:t>4,</w:t>
      </w:r>
      <w:proofErr w:type="gramStart"/>
      <w:r w:rsidR="003E3AFD">
        <w:t>32</w:t>
      </w:r>
      <w:r>
        <w:t>)=</w:t>
      </w:r>
      <w:proofErr w:type="gramEnd"/>
      <w:r w:rsidR="003E3AFD">
        <w:t>0</w:t>
      </w:r>
      <w:r>
        <w:t>.</w:t>
      </w:r>
      <w:r w:rsidR="003E3AFD">
        <w:t>48</w:t>
      </w:r>
      <w:r>
        <w:t>, p=0.</w:t>
      </w:r>
      <w:r w:rsidR="0031708A">
        <w:t>750</w:t>
      </w:r>
      <w:r w:rsidRPr="001E44AD">
        <w:t>, η</w:t>
      </w:r>
      <w:r w:rsidRPr="001E44AD">
        <w:rPr>
          <w:vertAlign w:val="subscript"/>
        </w:rPr>
        <w:t>p</w:t>
      </w:r>
      <w:r w:rsidRPr="001E44AD">
        <w:rPr>
          <w:vertAlign w:val="superscript"/>
        </w:rPr>
        <w:t>2</w:t>
      </w:r>
      <w:r>
        <w:t>=</w:t>
      </w:r>
      <w:r w:rsidRPr="001E44AD">
        <w:t>0.</w:t>
      </w:r>
      <w:r w:rsidR="0031708A">
        <w:t>57</w:t>
      </w:r>
      <w:r>
        <w:t>)</w:t>
      </w:r>
      <w:r w:rsidRPr="001E44AD">
        <w:t xml:space="preserve">. Post-hoc analysis </w:t>
      </w:r>
      <w:r>
        <w:t xml:space="preserve">on bin main effect </w:t>
      </w:r>
      <w:r w:rsidRPr="001E44AD">
        <w:t>showed that significant difference</w:t>
      </w:r>
      <w:r>
        <w:t>s</w:t>
      </w:r>
      <w:r w:rsidRPr="001E44AD">
        <w:t xml:space="preserve"> </w:t>
      </w:r>
      <w:r>
        <w:t>were</w:t>
      </w:r>
      <w:r w:rsidRPr="001E44AD">
        <w:t xml:space="preserve"> present across all bins (all </w:t>
      </w:r>
      <w:proofErr w:type="spellStart"/>
      <w:r w:rsidRPr="001E44AD">
        <w:t>ps</w:t>
      </w:r>
      <w:proofErr w:type="spellEnd"/>
      <w:r w:rsidRPr="001E44AD">
        <w:t xml:space="preserve">&lt;0.001). </w:t>
      </w:r>
      <w:r>
        <w:t xml:space="preserve">The post-hoc test on the </w:t>
      </w:r>
      <w:r w:rsidR="004E383B">
        <w:t xml:space="preserve">highly insignificant </w:t>
      </w:r>
      <w:r>
        <w:t xml:space="preserve">interaction revealed differences </w:t>
      </w:r>
      <w:r w:rsidR="002736C9">
        <w:t xml:space="preserve">only </w:t>
      </w:r>
      <w:r>
        <w:t xml:space="preserve">in bin </w:t>
      </w:r>
      <w:r w:rsidR="002736C9">
        <w:t>2</w:t>
      </w:r>
      <w:r>
        <w:t xml:space="preserve"> (</w:t>
      </w:r>
      <w:r w:rsidR="00FA1194">
        <w:t>p=0.001</w:t>
      </w:r>
      <w:r>
        <w:t xml:space="preserve">) and </w:t>
      </w:r>
      <w:r w:rsidR="002736C9">
        <w:t>3</w:t>
      </w:r>
      <w:r>
        <w:t xml:space="preserve"> (</w:t>
      </w:r>
      <w:r w:rsidR="00FA1194">
        <w:t>p=0.002</w:t>
      </w:r>
      <w:r>
        <w:t>). The difference</w:t>
      </w:r>
      <w:r w:rsidR="00FA1194">
        <w:t>s</w:t>
      </w:r>
      <w:r>
        <w:t xml:space="preserve"> in bin 1 and 5 </w:t>
      </w:r>
      <w:r w:rsidR="00FA1194">
        <w:t>(p=1.0) and in bin 4 (p=0.341) were</w:t>
      </w:r>
      <w:r>
        <w:t xml:space="preserve"> highly insignificant</w:t>
      </w:r>
      <w:r w:rsidR="00FA1194">
        <w:t>.</w:t>
      </w:r>
    </w:p>
    <w:p w14:paraId="445A289D" w14:textId="385FB677" w:rsidR="0025774D" w:rsidRPr="00D9726D" w:rsidRDefault="0025774D" w:rsidP="00203076">
      <w:r>
        <w:t xml:space="preserve">Thus, very early impact of action-outcome consistency was observed in gaze cuing congruency effect, </w:t>
      </w:r>
      <w:r w:rsidR="00343E6D">
        <w:t>which was kep</w:t>
      </w:r>
      <w:r w:rsidR="00237663">
        <w:t xml:space="preserve">t constant through the bins, </w:t>
      </w:r>
      <w:r w:rsidR="00343E6D">
        <w:t>disappear</w:t>
      </w:r>
      <w:r w:rsidR="00237663">
        <w:t>ing</w:t>
      </w:r>
      <w:r w:rsidR="000C2965">
        <w:t xml:space="preserve"> in slow RTs (bin 5)</w:t>
      </w:r>
      <w:r w:rsidR="00343E6D">
        <w:t xml:space="preserve">. At the same time, it was evident that </w:t>
      </w:r>
      <w:r w:rsidR="009B1B86">
        <w:t xml:space="preserve">action-outcome inconsistency as well as the control condition suffered from </w:t>
      </w:r>
      <w:r w:rsidR="00AD6221" w:rsidRPr="00AD6221">
        <w:rPr>
          <w:highlight w:val="yellow"/>
        </w:rPr>
        <w:t>XXX</w:t>
      </w:r>
    </w:p>
    <w:p w14:paraId="43201AE4" w14:textId="77777777" w:rsidR="00BF11DD" w:rsidRPr="00F53E38" w:rsidRDefault="00BF11DD" w:rsidP="004C3090"/>
    <w:p w14:paraId="228BE8D7" w14:textId="3C9A4666" w:rsidR="0069666C" w:rsidRDefault="00403F95" w:rsidP="00A473EC">
      <w:pPr>
        <w:jc w:val="center"/>
        <w:rPr>
          <w:noProof/>
        </w:rPr>
      </w:pPr>
      <w:r>
        <w:rPr>
          <w:noProof/>
        </w:rPr>
        <w:drawing>
          <wp:inline distT="0" distB="0" distL="0" distR="0" wp14:anchorId="058B7BC5" wp14:editId="156ED9A9">
            <wp:extent cx="1910986" cy="1982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34419" cy="2006795"/>
                    </a:xfrm>
                    <a:prstGeom prst="rect">
                      <a:avLst/>
                    </a:prstGeom>
                  </pic:spPr>
                </pic:pic>
              </a:graphicData>
            </a:graphic>
          </wp:inline>
        </w:drawing>
      </w:r>
    </w:p>
    <w:p w14:paraId="3CD29CD9" w14:textId="76D8044D" w:rsidR="00B03E51" w:rsidRDefault="00B03E51" w:rsidP="00A473EC">
      <w:pPr>
        <w:jc w:val="center"/>
        <w:rPr>
          <w:noProof/>
        </w:rPr>
      </w:pPr>
    </w:p>
    <w:p w14:paraId="5829E526" w14:textId="510CF314" w:rsidR="00B03E51" w:rsidRDefault="00BD26A7" w:rsidP="00A473EC">
      <w:pPr>
        <w:jc w:val="center"/>
        <w:rPr>
          <w:noProof/>
        </w:rPr>
      </w:pPr>
      <w:r>
        <w:rPr>
          <w:noProof/>
        </w:rPr>
        <w:lastRenderedPageBreak/>
        <w:drawing>
          <wp:inline distT="0" distB="0" distL="0" distR="0" wp14:anchorId="78D62A24" wp14:editId="662A4A3C">
            <wp:extent cx="1977660" cy="202722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88820" cy="2038664"/>
                    </a:xfrm>
                    <a:prstGeom prst="rect">
                      <a:avLst/>
                    </a:prstGeom>
                  </pic:spPr>
                </pic:pic>
              </a:graphicData>
            </a:graphic>
          </wp:inline>
        </w:drawing>
      </w:r>
    </w:p>
    <w:p w14:paraId="342C0F99" w14:textId="195F20A6" w:rsidR="00B03E51" w:rsidRDefault="00B03E51" w:rsidP="00A473EC">
      <w:pPr>
        <w:jc w:val="center"/>
        <w:rPr>
          <w:noProof/>
        </w:rPr>
      </w:pPr>
    </w:p>
    <w:p w14:paraId="71743F64" w14:textId="1EFC41BA" w:rsidR="00B03E51" w:rsidRDefault="00BD26A7" w:rsidP="00A473EC">
      <w:pPr>
        <w:jc w:val="center"/>
        <w:rPr>
          <w:noProof/>
        </w:rPr>
      </w:pPr>
      <w:r>
        <w:rPr>
          <w:noProof/>
        </w:rPr>
        <w:drawing>
          <wp:inline distT="0" distB="0" distL="0" distR="0" wp14:anchorId="4E724B78" wp14:editId="70E148ED">
            <wp:extent cx="2013610" cy="2167495"/>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25463" cy="2180253"/>
                    </a:xfrm>
                    <a:prstGeom prst="rect">
                      <a:avLst/>
                    </a:prstGeom>
                  </pic:spPr>
                </pic:pic>
              </a:graphicData>
            </a:graphic>
          </wp:inline>
        </w:drawing>
      </w:r>
    </w:p>
    <w:p w14:paraId="0325FA09" w14:textId="62F5EDCE" w:rsidR="00B03E51" w:rsidRDefault="00B03E51" w:rsidP="00A473EC">
      <w:pPr>
        <w:jc w:val="center"/>
        <w:rPr>
          <w:noProof/>
        </w:rPr>
      </w:pPr>
    </w:p>
    <w:p w14:paraId="0FB0DD12" w14:textId="0F1DAEDE" w:rsidR="00B03E51" w:rsidRDefault="00B03E51" w:rsidP="00A473EC">
      <w:pPr>
        <w:jc w:val="center"/>
        <w:rPr>
          <w:noProof/>
        </w:rPr>
      </w:pPr>
    </w:p>
    <w:p w14:paraId="559E27E2" w14:textId="439008AF" w:rsidR="00F15700" w:rsidRDefault="00F15700" w:rsidP="00F15700">
      <w:pPr>
        <w:jc w:val="center"/>
      </w:pPr>
      <w:r>
        <w:t xml:space="preserve">Figure 3: </w:t>
      </w:r>
      <w:r w:rsidR="00D77EA8">
        <w:t>RT d</w:t>
      </w:r>
      <w:r>
        <w:t xml:space="preserve">istribution </w:t>
      </w:r>
      <w:r w:rsidR="0038446E">
        <w:t>across 5 bins</w:t>
      </w:r>
      <w:r w:rsidR="00D94B55">
        <w:t xml:space="preserve">. </w:t>
      </w:r>
      <w:r w:rsidR="00326158">
        <w:t xml:space="preserve">Horizontal line represents bins from 1 to 5. </w:t>
      </w:r>
      <w:r>
        <w:t xml:space="preserve">Vertical bars denote 95% CI. </w:t>
      </w:r>
    </w:p>
    <w:p w14:paraId="2F6CDED2" w14:textId="03317F9B" w:rsidR="00F15700" w:rsidRDefault="00F15700" w:rsidP="00F15700">
      <w:pPr>
        <w:jc w:val="center"/>
      </w:pPr>
      <w:r>
        <w:t>* p&lt;0.05; ** p&lt;0.01; *** p&lt;0.001.</w:t>
      </w:r>
    </w:p>
    <w:p w14:paraId="1CF900FA" w14:textId="77777777" w:rsidR="00CF34D8" w:rsidRDefault="00CF34D8" w:rsidP="00F15700">
      <w:pPr>
        <w:jc w:val="center"/>
      </w:pPr>
    </w:p>
    <w:p w14:paraId="0D67E9CE" w14:textId="2A064BDA" w:rsidR="004E2DD4" w:rsidRPr="00F53E38" w:rsidRDefault="004E2DD4" w:rsidP="004E2DD4">
      <w:r>
        <w:t xml:space="preserve">Taken together, the distribution analyses confirmed and extended the results of </w:t>
      </w:r>
      <w:r w:rsidR="00FA4BF7">
        <w:t>the experiment</w:t>
      </w:r>
      <w:r>
        <w:t xml:space="preserve">, suggesting that the </w:t>
      </w:r>
      <w:r w:rsidR="00FA4BF7">
        <w:t xml:space="preserve">gaze cuing congruence effect can be </w:t>
      </w:r>
      <w:r>
        <w:t>influence</w:t>
      </w:r>
      <w:r w:rsidR="00FA4BF7">
        <w:t>d by action-outcome consistency, as well as suggested that the effect is depends on task difficulty and may be not fully automatic.</w:t>
      </w:r>
      <w:r>
        <w:t xml:space="preserve"> </w:t>
      </w:r>
    </w:p>
    <w:p w14:paraId="66813C54" w14:textId="7D27AB60" w:rsidR="004E2DD4" w:rsidRDefault="004E2DD4" w:rsidP="004E2DD4">
      <w:pPr>
        <w:pStyle w:val="Heading1"/>
      </w:pPr>
      <w:r>
        <w:t>Conclusion</w:t>
      </w:r>
    </w:p>
    <w:p w14:paraId="7EA35179" w14:textId="77777777" w:rsidR="00A056EF" w:rsidRDefault="00A056EF" w:rsidP="00A056EF">
      <w:pPr>
        <w:pStyle w:val="Heading1"/>
        <w:spacing w:before="220"/>
      </w:pPr>
      <w:r>
        <w:t>Acknowledgments</w:t>
      </w:r>
    </w:p>
    <w:p w14:paraId="2855CCEC" w14:textId="738DD706" w:rsidR="00A056EF" w:rsidRPr="00C269FC" w:rsidRDefault="00A056EF" w:rsidP="00C269FC">
      <w:r>
        <w:t xml:space="preserve">We are grateful to </w:t>
      </w:r>
      <w:r w:rsidR="00B536E9">
        <w:t>Mihail Karagerov for help in data gathering</w:t>
      </w:r>
      <w:r>
        <w:t>.</w:t>
      </w:r>
    </w:p>
    <w:p w14:paraId="077130F2" w14:textId="4B45A3BB" w:rsidR="00347A1A" w:rsidRPr="00E31D5D" w:rsidRDefault="00347A1A" w:rsidP="00347A1A">
      <w:pPr>
        <w:pStyle w:val="Heading1"/>
        <w:spacing w:before="220"/>
      </w:pPr>
      <w:r w:rsidRPr="00E31D5D">
        <w:t>References</w:t>
      </w:r>
    </w:p>
    <w:p w14:paraId="50572484" w14:textId="207CE6A3" w:rsidR="007816E1" w:rsidRDefault="00B536E9" w:rsidP="00824644">
      <w:pPr>
        <w:pStyle w:val="Reference"/>
      </w:pPr>
      <w:r w:rsidRPr="003C03B3">
        <w:rPr>
          <w:lang w:val="de-DE"/>
        </w:rPr>
        <w:t xml:space="preserve">Faul F., Erdfelder E., Lang A.-G., Buchner A. (2007). </w:t>
      </w:r>
      <w:r>
        <w:t xml:space="preserve">G*power 3: A flexible statistical power analysis program for the social, behavioral, and biomedical sciences. </w:t>
      </w:r>
      <w:r w:rsidRPr="004867A8">
        <w:rPr>
          <w:i/>
          <w:iCs/>
        </w:rPr>
        <w:t>Behavior Research Methods</w:t>
      </w:r>
      <w:r>
        <w:t xml:space="preserve">, 39, 175–191. </w:t>
      </w:r>
      <w:hyperlink r:id="rId18" w:history="1">
        <w:r w:rsidRPr="004867A8">
          <w:t>https://doi.org/10.3758/BF03193146</w:t>
        </w:r>
      </w:hyperlink>
      <w:r>
        <w:t>.</w:t>
      </w:r>
      <w:r w:rsidR="007816E1" w:rsidRPr="00100146" w:rsidDel="00033C3E">
        <w:t xml:space="preserve"> </w:t>
      </w:r>
    </w:p>
    <w:p w14:paraId="2A7225AF" w14:textId="77777777" w:rsidR="004867A8" w:rsidRDefault="004867A8" w:rsidP="004867A8">
      <w:pPr>
        <w:pStyle w:val="Reference"/>
      </w:pPr>
      <w:r>
        <w:t>Proctor, R. W., Miles, J. D., &amp; Baroni, G. (2011). Reaction</w:t>
      </w:r>
    </w:p>
    <w:p w14:paraId="781C7580" w14:textId="77777777" w:rsidR="004867A8" w:rsidRDefault="004867A8" w:rsidP="004867A8">
      <w:pPr>
        <w:pStyle w:val="Reference"/>
        <w:ind w:firstLine="0"/>
      </w:pPr>
      <w:r>
        <w:t>time distribution analysis of spatial correspondence effects.</w:t>
      </w:r>
    </w:p>
    <w:p w14:paraId="72A8CB03" w14:textId="559F7224" w:rsidR="004867A8" w:rsidRDefault="004867A8" w:rsidP="004867A8">
      <w:pPr>
        <w:pStyle w:val="Reference"/>
        <w:ind w:firstLine="0"/>
      </w:pPr>
      <w:r w:rsidRPr="004867A8">
        <w:rPr>
          <w:i/>
        </w:rPr>
        <w:t>Psychonomic Bulletin &amp; Review</w:t>
      </w:r>
      <w:r>
        <w:t>, 18, 242-266.</w:t>
      </w:r>
      <w:r w:rsidR="00900444" w:rsidRPr="00900444">
        <w:t xml:space="preserve"> </w:t>
      </w:r>
      <w:r w:rsidR="00900444">
        <w:rPr>
          <w:rStyle w:val="c-bibliographic-informationvalue"/>
        </w:rPr>
        <w:t>https://doi.org/10.3758/s13423-011-0053-5.</w:t>
      </w:r>
    </w:p>
    <w:p w14:paraId="41658537" w14:textId="4FBA8A3C" w:rsidR="001637A8" w:rsidRDefault="001637A8" w:rsidP="00824644">
      <w:pPr>
        <w:pStyle w:val="Reference"/>
      </w:pPr>
      <w:r w:rsidRPr="003C03B3">
        <w:rPr>
          <w:lang w:val="de-DE"/>
        </w:rPr>
        <w:t xml:space="preserve">Schneider, W., </w:t>
      </w:r>
      <w:proofErr w:type="spellStart"/>
      <w:r w:rsidRPr="003C03B3">
        <w:rPr>
          <w:lang w:val="de-DE"/>
        </w:rPr>
        <w:t>Eschman</w:t>
      </w:r>
      <w:proofErr w:type="spellEnd"/>
      <w:r w:rsidRPr="003C03B3">
        <w:rPr>
          <w:lang w:val="de-DE"/>
        </w:rPr>
        <w:t xml:space="preserve">, A., &amp; </w:t>
      </w:r>
      <w:proofErr w:type="spellStart"/>
      <w:r w:rsidRPr="003C03B3">
        <w:rPr>
          <w:lang w:val="de-DE"/>
        </w:rPr>
        <w:t>Zuccolotto</w:t>
      </w:r>
      <w:proofErr w:type="spellEnd"/>
      <w:r w:rsidRPr="003C03B3">
        <w:rPr>
          <w:lang w:val="de-DE"/>
        </w:rPr>
        <w:t xml:space="preserve">, A. (2002). </w:t>
      </w:r>
      <w:r>
        <w:t>E-Prime (Version 2.0). [Computer software and manual]. Pittsburgh, PA: Psychology Software Tools Inc.</w:t>
      </w:r>
    </w:p>
    <w:p w14:paraId="46C68BB4" w14:textId="49EA5813" w:rsidR="00E46C7E" w:rsidRDefault="00E46C7E" w:rsidP="00824644">
      <w:pPr>
        <w:pStyle w:val="Reference"/>
      </w:pPr>
    </w:p>
    <w:p w14:paraId="3E41A905" w14:textId="77777777" w:rsidR="00E46C7E" w:rsidRPr="00824644" w:rsidRDefault="00E46C7E" w:rsidP="00824644">
      <w:pPr>
        <w:pStyle w:val="Reference"/>
      </w:pPr>
    </w:p>
    <w:p w14:paraId="407822F2" w14:textId="77777777" w:rsidR="005C54AF" w:rsidRPr="00824644" w:rsidRDefault="005C54AF">
      <w:pPr>
        <w:pStyle w:val="Reference"/>
      </w:pPr>
    </w:p>
    <w:sectPr w:rsidR="005C54AF" w:rsidRPr="00824644" w:rsidSect="00393C35">
      <w:footerReference w:type="default" r:id="rId19"/>
      <w:type w:val="continuous"/>
      <w:pgSz w:w="12240" w:h="15840" w:code="1"/>
      <w:pgMar w:top="1440" w:right="1080" w:bottom="1080" w:left="108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AFEC8" w14:textId="77777777" w:rsidR="00461FC6" w:rsidRDefault="00461FC6">
      <w:r>
        <w:separator/>
      </w:r>
    </w:p>
  </w:endnote>
  <w:endnote w:type="continuationSeparator" w:id="0">
    <w:p w14:paraId="2E4C01D4" w14:textId="77777777" w:rsidR="00461FC6" w:rsidRDefault="00461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Palatino">
    <w:charset w:val="00"/>
    <w:family w:val="auto"/>
    <w:pitch w:val="variable"/>
    <w:sig w:usb0="A00002FF" w:usb1="7800205A" w:usb2="14600000" w:usb3="00000000" w:csb0="00000193" w:csb1="00000000"/>
  </w:font>
  <w:font w:name="Tahoma">
    <w:panose1 w:val="020B0604030504040204"/>
    <w:charset w:val="CC"/>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9049" w14:textId="77777777" w:rsidR="00B07405" w:rsidRDefault="00B07405" w:rsidP="005F7DA3">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6F330" w14:textId="77777777" w:rsidR="00461FC6" w:rsidRDefault="00461FC6">
      <w:r>
        <w:separator/>
      </w:r>
    </w:p>
  </w:footnote>
  <w:footnote w:type="continuationSeparator" w:id="0">
    <w:p w14:paraId="6DFA5F97" w14:textId="77777777" w:rsidR="00461FC6" w:rsidRDefault="00461F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A522C7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86043F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13AF4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1D14CFB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D2CE62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3458626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094148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0D48C6E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F0A23B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CF1CFD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B4E724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singleLevel"/>
    <w:tmpl w:val="00000000"/>
    <w:lvl w:ilvl="0">
      <w:start w:val="1"/>
      <w:numFmt w:val="upperRoman"/>
      <w:lvlText w:val="(%1)"/>
      <w:lvlJc w:val="left"/>
      <w:pPr>
        <w:tabs>
          <w:tab w:val="num" w:pos="720"/>
        </w:tabs>
        <w:ind w:left="720" w:hanging="720"/>
      </w:pPr>
      <w:rPr>
        <w:rFonts w:hint="default"/>
      </w:rPr>
    </w:lvl>
  </w:abstractNum>
  <w:abstractNum w:abstractNumId="12" w15:restartNumberingAfterBreak="0">
    <w:nsid w:val="233B5481"/>
    <w:multiLevelType w:val="hybridMultilevel"/>
    <w:tmpl w:val="5912650C"/>
    <w:lvl w:ilvl="0" w:tplc="F92A6558">
      <w:start w:val="21"/>
      <w:numFmt w:val="bullet"/>
      <w:lvlText w:val=""/>
      <w:lvlJc w:val="left"/>
      <w:pPr>
        <w:ind w:left="541" w:hanging="360"/>
      </w:pPr>
      <w:rPr>
        <w:rFonts w:ascii="Symbol" w:eastAsia="Times" w:hAnsi="Symbol" w:cs="Times New Roman" w:hint="default"/>
      </w:rPr>
    </w:lvl>
    <w:lvl w:ilvl="1" w:tplc="04090003" w:tentative="1">
      <w:start w:val="1"/>
      <w:numFmt w:val="bullet"/>
      <w:lvlText w:val="o"/>
      <w:lvlJc w:val="left"/>
      <w:pPr>
        <w:ind w:left="1261" w:hanging="360"/>
      </w:pPr>
      <w:rPr>
        <w:rFonts w:ascii="Courier New" w:hAnsi="Courier New" w:cs="Courier New" w:hint="default"/>
      </w:rPr>
    </w:lvl>
    <w:lvl w:ilvl="2" w:tplc="04090005" w:tentative="1">
      <w:start w:val="1"/>
      <w:numFmt w:val="bullet"/>
      <w:lvlText w:val=""/>
      <w:lvlJc w:val="left"/>
      <w:pPr>
        <w:ind w:left="1981" w:hanging="360"/>
      </w:pPr>
      <w:rPr>
        <w:rFonts w:ascii="Wingdings" w:hAnsi="Wingdings" w:hint="default"/>
      </w:rPr>
    </w:lvl>
    <w:lvl w:ilvl="3" w:tplc="04090001" w:tentative="1">
      <w:start w:val="1"/>
      <w:numFmt w:val="bullet"/>
      <w:lvlText w:val=""/>
      <w:lvlJc w:val="left"/>
      <w:pPr>
        <w:ind w:left="2701" w:hanging="360"/>
      </w:pPr>
      <w:rPr>
        <w:rFonts w:ascii="Symbol" w:hAnsi="Symbol" w:hint="default"/>
      </w:rPr>
    </w:lvl>
    <w:lvl w:ilvl="4" w:tplc="04090003" w:tentative="1">
      <w:start w:val="1"/>
      <w:numFmt w:val="bullet"/>
      <w:lvlText w:val="o"/>
      <w:lvlJc w:val="left"/>
      <w:pPr>
        <w:ind w:left="3421" w:hanging="360"/>
      </w:pPr>
      <w:rPr>
        <w:rFonts w:ascii="Courier New" w:hAnsi="Courier New" w:cs="Courier New" w:hint="default"/>
      </w:rPr>
    </w:lvl>
    <w:lvl w:ilvl="5" w:tplc="04090005" w:tentative="1">
      <w:start w:val="1"/>
      <w:numFmt w:val="bullet"/>
      <w:lvlText w:val=""/>
      <w:lvlJc w:val="left"/>
      <w:pPr>
        <w:ind w:left="4141" w:hanging="360"/>
      </w:pPr>
      <w:rPr>
        <w:rFonts w:ascii="Wingdings" w:hAnsi="Wingdings" w:hint="default"/>
      </w:rPr>
    </w:lvl>
    <w:lvl w:ilvl="6" w:tplc="04090001" w:tentative="1">
      <w:start w:val="1"/>
      <w:numFmt w:val="bullet"/>
      <w:lvlText w:val=""/>
      <w:lvlJc w:val="left"/>
      <w:pPr>
        <w:ind w:left="4861" w:hanging="360"/>
      </w:pPr>
      <w:rPr>
        <w:rFonts w:ascii="Symbol" w:hAnsi="Symbol" w:hint="default"/>
      </w:rPr>
    </w:lvl>
    <w:lvl w:ilvl="7" w:tplc="04090003" w:tentative="1">
      <w:start w:val="1"/>
      <w:numFmt w:val="bullet"/>
      <w:lvlText w:val="o"/>
      <w:lvlJc w:val="left"/>
      <w:pPr>
        <w:ind w:left="5581" w:hanging="360"/>
      </w:pPr>
      <w:rPr>
        <w:rFonts w:ascii="Courier New" w:hAnsi="Courier New" w:cs="Courier New" w:hint="default"/>
      </w:rPr>
    </w:lvl>
    <w:lvl w:ilvl="8" w:tplc="04090005" w:tentative="1">
      <w:start w:val="1"/>
      <w:numFmt w:val="bullet"/>
      <w:lvlText w:val=""/>
      <w:lvlJc w:val="left"/>
      <w:pPr>
        <w:ind w:left="6301" w:hanging="360"/>
      </w:pPr>
      <w:rPr>
        <w:rFonts w:ascii="Wingdings" w:hAnsi="Wingdings" w:hint="default"/>
      </w:rPr>
    </w:lvl>
  </w:abstractNum>
  <w:abstractNum w:abstractNumId="13" w15:restartNumberingAfterBreak="0">
    <w:nsid w:val="3BA865CE"/>
    <w:multiLevelType w:val="hybridMultilevel"/>
    <w:tmpl w:val="2E502FE6"/>
    <w:lvl w:ilvl="0" w:tplc="1BDE566E">
      <w:start w:val="21"/>
      <w:numFmt w:val="bullet"/>
      <w:lvlText w:val=""/>
      <w:lvlJc w:val="left"/>
      <w:pPr>
        <w:ind w:left="901" w:hanging="360"/>
      </w:pPr>
      <w:rPr>
        <w:rFonts w:ascii="Symbol" w:eastAsia="Times" w:hAnsi="Symbol" w:cs="Times New Roman"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num w:numId="1" w16cid:durableId="779766525">
    <w:abstractNumId w:val="11"/>
  </w:num>
  <w:num w:numId="2" w16cid:durableId="1878395047">
    <w:abstractNumId w:val="10"/>
  </w:num>
  <w:num w:numId="3" w16cid:durableId="861823872">
    <w:abstractNumId w:val="8"/>
  </w:num>
  <w:num w:numId="4" w16cid:durableId="1960605839">
    <w:abstractNumId w:val="7"/>
  </w:num>
  <w:num w:numId="5" w16cid:durableId="942372792">
    <w:abstractNumId w:val="6"/>
  </w:num>
  <w:num w:numId="6" w16cid:durableId="1969968505">
    <w:abstractNumId w:val="5"/>
  </w:num>
  <w:num w:numId="7" w16cid:durableId="992610016">
    <w:abstractNumId w:val="9"/>
  </w:num>
  <w:num w:numId="8" w16cid:durableId="508911132">
    <w:abstractNumId w:val="4"/>
  </w:num>
  <w:num w:numId="9" w16cid:durableId="722679721">
    <w:abstractNumId w:val="3"/>
  </w:num>
  <w:num w:numId="10" w16cid:durableId="2146770061">
    <w:abstractNumId w:val="2"/>
  </w:num>
  <w:num w:numId="11" w16cid:durableId="1490175726">
    <w:abstractNumId w:val="1"/>
  </w:num>
  <w:num w:numId="12" w16cid:durableId="136801500">
    <w:abstractNumId w:val="0"/>
  </w:num>
  <w:num w:numId="13" w16cid:durableId="981469185">
    <w:abstractNumId w:val="12"/>
  </w:num>
  <w:num w:numId="14" w16cid:durableId="16824631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570"/>
    <w:rsid w:val="0000012E"/>
    <w:rsid w:val="0000166A"/>
    <w:rsid w:val="00001F65"/>
    <w:rsid w:val="000023FA"/>
    <w:rsid w:val="000036CA"/>
    <w:rsid w:val="00004E6F"/>
    <w:rsid w:val="0000705B"/>
    <w:rsid w:val="0001071E"/>
    <w:rsid w:val="00010FDD"/>
    <w:rsid w:val="000114C0"/>
    <w:rsid w:val="00011B73"/>
    <w:rsid w:val="0001438D"/>
    <w:rsid w:val="00014C25"/>
    <w:rsid w:val="00015E4B"/>
    <w:rsid w:val="00017BDD"/>
    <w:rsid w:val="00021738"/>
    <w:rsid w:val="0002260B"/>
    <w:rsid w:val="00022BD3"/>
    <w:rsid w:val="00023C78"/>
    <w:rsid w:val="0002406F"/>
    <w:rsid w:val="00024ACB"/>
    <w:rsid w:val="000257EA"/>
    <w:rsid w:val="00025C10"/>
    <w:rsid w:val="00025E17"/>
    <w:rsid w:val="00027B1C"/>
    <w:rsid w:val="00030461"/>
    <w:rsid w:val="00031C1B"/>
    <w:rsid w:val="000331D2"/>
    <w:rsid w:val="00033C3E"/>
    <w:rsid w:val="0003754E"/>
    <w:rsid w:val="00040B88"/>
    <w:rsid w:val="00041973"/>
    <w:rsid w:val="0004472B"/>
    <w:rsid w:val="000468D6"/>
    <w:rsid w:val="00047923"/>
    <w:rsid w:val="00052112"/>
    <w:rsid w:val="000553F4"/>
    <w:rsid w:val="000566D8"/>
    <w:rsid w:val="00056C88"/>
    <w:rsid w:val="0005717C"/>
    <w:rsid w:val="00062D0D"/>
    <w:rsid w:val="000638AA"/>
    <w:rsid w:val="000641FD"/>
    <w:rsid w:val="000654DF"/>
    <w:rsid w:val="00070A26"/>
    <w:rsid w:val="00082238"/>
    <w:rsid w:val="00083EED"/>
    <w:rsid w:val="00084B65"/>
    <w:rsid w:val="000857FE"/>
    <w:rsid w:val="0008771E"/>
    <w:rsid w:val="00097E57"/>
    <w:rsid w:val="000A050B"/>
    <w:rsid w:val="000A5C18"/>
    <w:rsid w:val="000B08CD"/>
    <w:rsid w:val="000B26BE"/>
    <w:rsid w:val="000B3F66"/>
    <w:rsid w:val="000B5ADC"/>
    <w:rsid w:val="000B5F06"/>
    <w:rsid w:val="000B7A52"/>
    <w:rsid w:val="000C2965"/>
    <w:rsid w:val="000C3E8F"/>
    <w:rsid w:val="000C40BE"/>
    <w:rsid w:val="000C5E82"/>
    <w:rsid w:val="000C6C83"/>
    <w:rsid w:val="000D1960"/>
    <w:rsid w:val="000D2E72"/>
    <w:rsid w:val="000D4305"/>
    <w:rsid w:val="000D4784"/>
    <w:rsid w:val="000D62A6"/>
    <w:rsid w:val="000E04AD"/>
    <w:rsid w:val="000E2C85"/>
    <w:rsid w:val="000E545C"/>
    <w:rsid w:val="000E54EC"/>
    <w:rsid w:val="000E5E50"/>
    <w:rsid w:val="000E677F"/>
    <w:rsid w:val="000F26E7"/>
    <w:rsid w:val="000F2B2F"/>
    <w:rsid w:val="000F5843"/>
    <w:rsid w:val="000F757A"/>
    <w:rsid w:val="00100146"/>
    <w:rsid w:val="0010187F"/>
    <w:rsid w:val="0010210C"/>
    <w:rsid w:val="001023EC"/>
    <w:rsid w:val="00107707"/>
    <w:rsid w:val="001077DE"/>
    <w:rsid w:val="00112F84"/>
    <w:rsid w:val="00113103"/>
    <w:rsid w:val="0011327E"/>
    <w:rsid w:val="00113550"/>
    <w:rsid w:val="00114098"/>
    <w:rsid w:val="00117B2F"/>
    <w:rsid w:val="00120B19"/>
    <w:rsid w:val="00120F83"/>
    <w:rsid w:val="00121E3E"/>
    <w:rsid w:val="00127FC0"/>
    <w:rsid w:val="00133272"/>
    <w:rsid w:val="00136F03"/>
    <w:rsid w:val="00141566"/>
    <w:rsid w:val="0014267D"/>
    <w:rsid w:val="00144F9B"/>
    <w:rsid w:val="00146B17"/>
    <w:rsid w:val="00147E9B"/>
    <w:rsid w:val="001508B8"/>
    <w:rsid w:val="001526D0"/>
    <w:rsid w:val="00152870"/>
    <w:rsid w:val="00153418"/>
    <w:rsid w:val="001637A8"/>
    <w:rsid w:val="00165F0F"/>
    <w:rsid w:val="00171C55"/>
    <w:rsid w:val="001751D4"/>
    <w:rsid w:val="00176F85"/>
    <w:rsid w:val="001772F7"/>
    <w:rsid w:val="00181013"/>
    <w:rsid w:val="00181848"/>
    <w:rsid w:val="00185D7D"/>
    <w:rsid w:val="00192AB9"/>
    <w:rsid w:val="00196D2D"/>
    <w:rsid w:val="001A3321"/>
    <w:rsid w:val="001A37B3"/>
    <w:rsid w:val="001B6FE1"/>
    <w:rsid w:val="001C1D08"/>
    <w:rsid w:val="001C3331"/>
    <w:rsid w:val="001C3EC0"/>
    <w:rsid w:val="001D21BB"/>
    <w:rsid w:val="001D22C8"/>
    <w:rsid w:val="001D2812"/>
    <w:rsid w:val="001D384F"/>
    <w:rsid w:val="001E11C5"/>
    <w:rsid w:val="001E1C80"/>
    <w:rsid w:val="001E44AD"/>
    <w:rsid w:val="001E570B"/>
    <w:rsid w:val="001F0459"/>
    <w:rsid w:val="001F182E"/>
    <w:rsid w:val="001F1F78"/>
    <w:rsid w:val="001F21B8"/>
    <w:rsid w:val="001F4851"/>
    <w:rsid w:val="00203076"/>
    <w:rsid w:val="002043EF"/>
    <w:rsid w:val="00204583"/>
    <w:rsid w:val="00215E10"/>
    <w:rsid w:val="00215F3E"/>
    <w:rsid w:val="00216774"/>
    <w:rsid w:val="00221D31"/>
    <w:rsid w:val="0022505C"/>
    <w:rsid w:val="002266BA"/>
    <w:rsid w:val="00230C6C"/>
    <w:rsid w:val="00235D9B"/>
    <w:rsid w:val="00236C9A"/>
    <w:rsid w:val="00236D42"/>
    <w:rsid w:val="00237663"/>
    <w:rsid w:val="002437F4"/>
    <w:rsid w:val="00247859"/>
    <w:rsid w:val="002531F7"/>
    <w:rsid w:val="002539CC"/>
    <w:rsid w:val="0025774D"/>
    <w:rsid w:val="0026453A"/>
    <w:rsid w:val="002669FD"/>
    <w:rsid w:val="002674A8"/>
    <w:rsid w:val="00270FAF"/>
    <w:rsid w:val="002736C9"/>
    <w:rsid w:val="0027635A"/>
    <w:rsid w:val="00280806"/>
    <w:rsid w:val="00281CB0"/>
    <w:rsid w:val="00282D37"/>
    <w:rsid w:val="00283A8A"/>
    <w:rsid w:val="0028504E"/>
    <w:rsid w:val="00285BF9"/>
    <w:rsid w:val="0029008E"/>
    <w:rsid w:val="00291FC3"/>
    <w:rsid w:val="0029339F"/>
    <w:rsid w:val="00293B65"/>
    <w:rsid w:val="002A2D75"/>
    <w:rsid w:val="002A4B74"/>
    <w:rsid w:val="002A538C"/>
    <w:rsid w:val="002B03FB"/>
    <w:rsid w:val="002B2C43"/>
    <w:rsid w:val="002B7ACC"/>
    <w:rsid w:val="002C0112"/>
    <w:rsid w:val="002C1B9C"/>
    <w:rsid w:val="002D127C"/>
    <w:rsid w:val="002D18B9"/>
    <w:rsid w:val="002D2A99"/>
    <w:rsid w:val="002D3970"/>
    <w:rsid w:val="002D6A47"/>
    <w:rsid w:val="002D7D20"/>
    <w:rsid w:val="002E37EB"/>
    <w:rsid w:val="002E41A4"/>
    <w:rsid w:val="002E451D"/>
    <w:rsid w:val="002E667B"/>
    <w:rsid w:val="002F19F4"/>
    <w:rsid w:val="002F1ADA"/>
    <w:rsid w:val="002F2515"/>
    <w:rsid w:val="002F5E66"/>
    <w:rsid w:val="002F6DAD"/>
    <w:rsid w:val="0030038E"/>
    <w:rsid w:val="00302576"/>
    <w:rsid w:val="00303B99"/>
    <w:rsid w:val="00304215"/>
    <w:rsid w:val="00304367"/>
    <w:rsid w:val="0030450A"/>
    <w:rsid w:val="00304B6F"/>
    <w:rsid w:val="003059F8"/>
    <w:rsid w:val="00306867"/>
    <w:rsid w:val="00311374"/>
    <w:rsid w:val="00315FF9"/>
    <w:rsid w:val="003164E5"/>
    <w:rsid w:val="0031708A"/>
    <w:rsid w:val="003208E8"/>
    <w:rsid w:val="00320DB0"/>
    <w:rsid w:val="00322217"/>
    <w:rsid w:val="003239AF"/>
    <w:rsid w:val="00326158"/>
    <w:rsid w:val="00337B5D"/>
    <w:rsid w:val="00340118"/>
    <w:rsid w:val="00343A25"/>
    <w:rsid w:val="00343E6D"/>
    <w:rsid w:val="003447BC"/>
    <w:rsid w:val="00344A99"/>
    <w:rsid w:val="00346550"/>
    <w:rsid w:val="003474BC"/>
    <w:rsid w:val="00347A1A"/>
    <w:rsid w:val="0035162E"/>
    <w:rsid w:val="00356815"/>
    <w:rsid w:val="003570C0"/>
    <w:rsid w:val="00363E83"/>
    <w:rsid w:val="003646F8"/>
    <w:rsid w:val="00364C44"/>
    <w:rsid w:val="00365A57"/>
    <w:rsid w:val="003719C3"/>
    <w:rsid w:val="00374C16"/>
    <w:rsid w:val="003769E5"/>
    <w:rsid w:val="0038009B"/>
    <w:rsid w:val="00382094"/>
    <w:rsid w:val="00382663"/>
    <w:rsid w:val="003827AB"/>
    <w:rsid w:val="0038446E"/>
    <w:rsid w:val="00384BDB"/>
    <w:rsid w:val="0038574F"/>
    <w:rsid w:val="00386E1E"/>
    <w:rsid w:val="00393018"/>
    <w:rsid w:val="00393C35"/>
    <w:rsid w:val="00397D03"/>
    <w:rsid w:val="003A0FB2"/>
    <w:rsid w:val="003A161A"/>
    <w:rsid w:val="003A18E4"/>
    <w:rsid w:val="003A63FA"/>
    <w:rsid w:val="003B14D2"/>
    <w:rsid w:val="003B5056"/>
    <w:rsid w:val="003C03B3"/>
    <w:rsid w:val="003C35B4"/>
    <w:rsid w:val="003C4ACD"/>
    <w:rsid w:val="003C58C3"/>
    <w:rsid w:val="003C5F11"/>
    <w:rsid w:val="003C631E"/>
    <w:rsid w:val="003C6BF5"/>
    <w:rsid w:val="003C75FB"/>
    <w:rsid w:val="003C7BB1"/>
    <w:rsid w:val="003D0FE7"/>
    <w:rsid w:val="003D5A8C"/>
    <w:rsid w:val="003E1060"/>
    <w:rsid w:val="003E17C4"/>
    <w:rsid w:val="003E3AFD"/>
    <w:rsid w:val="003E3C8B"/>
    <w:rsid w:val="003E78E3"/>
    <w:rsid w:val="003F253D"/>
    <w:rsid w:val="003F6D4D"/>
    <w:rsid w:val="003F7C47"/>
    <w:rsid w:val="004037ED"/>
    <w:rsid w:val="00403F95"/>
    <w:rsid w:val="00406302"/>
    <w:rsid w:val="00406EB0"/>
    <w:rsid w:val="0041023E"/>
    <w:rsid w:val="0041201C"/>
    <w:rsid w:val="0041418A"/>
    <w:rsid w:val="00414438"/>
    <w:rsid w:val="00414519"/>
    <w:rsid w:val="00414830"/>
    <w:rsid w:val="004159B0"/>
    <w:rsid w:val="00415A21"/>
    <w:rsid w:val="0041661B"/>
    <w:rsid w:val="00416F12"/>
    <w:rsid w:val="00421C5E"/>
    <w:rsid w:val="004237F7"/>
    <w:rsid w:val="00423C9F"/>
    <w:rsid w:val="00430DAC"/>
    <w:rsid w:val="004315EA"/>
    <w:rsid w:val="0043368E"/>
    <w:rsid w:val="00433DC4"/>
    <w:rsid w:val="00434732"/>
    <w:rsid w:val="00435B59"/>
    <w:rsid w:val="00437C8D"/>
    <w:rsid w:val="00441003"/>
    <w:rsid w:val="0044478F"/>
    <w:rsid w:val="00446326"/>
    <w:rsid w:val="004465E2"/>
    <w:rsid w:val="00446B81"/>
    <w:rsid w:val="004508A0"/>
    <w:rsid w:val="00451524"/>
    <w:rsid w:val="004516B7"/>
    <w:rsid w:val="00453113"/>
    <w:rsid w:val="0045475F"/>
    <w:rsid w:val="00454B89"/>
    <w:rsid w:val="004601C7"/>
    <w:rsid w:val="00461FC6"/>
    <w:rsid w:val="004636C6"/>
    <w:rsid w:val="00467CF1"/>
    <w:rsid w:val="00472925"/>
    <w:rsid w:val="00475382"/>
    <w:rsid w:val="00476FF6"/>
    <w:rsid w:val="00477D36"/>
    <w:rsid w:val="004838F6"/>
    <w:rsid w:val="00484D8B"/>
    <w:rsid w:val="00485F34"/>
    <w:rsid w:val="004867A8"/>
    <w:rsid w:val="004948C0"/>
    <w:rsid w:val="004961AA"/>
    <w:rsid w:val="00496560"/>
    <w:rsid w:val="004A0845"/>
    <w:rsid w:val="004A0B4F"/>
    <w:rsid w:val="004A6A70"/>
    <w:rsid w:val="004B122C"/>
    <w:rsid w:val="004B4614"/>
    <w:rsid w:val="004B5D8F"/>
    <w:rsid w:val="004B6533"/>
    <w:rsid w:val="004C2EAE"/>
    <w:rsid w:val="004C3090"/>
    <w:rsid w:val="004C49CF"/>
    <w:rsid w:val="004D20B9"/>
    <w:rsid w:val="004D2810"/>
    <w:rsid w:val="004D343C"/>
    <w:rsid w:val="004D447E"/>
    <w:rsid w:val="004D6F0C"/>
    <w:rsid w:val="004E1373"/>
    <w:rsid w:val="004E2D60"/>
    <w:rsid w:val="004E2DD4"/>
    <w:rsid w:val="004E383B"/>
    <w:rsid w:val="004E415B"/>
    <w:rsid w:val="004E4AAC"/>
    <w:rsid w:val="004E4C27"/>
    <w:rsid w:val="004E6F77"/>
    <w:rsid w:val="004F0DC5"/>
    <w:rsid w:val="004F19E1"/>
    <w:rsid w:val="004F2A4D"/>
    <w:rsid w:val="004F5947"/>
    <w:rsid w:val="00502564"/>
    <w:rsid w:val="00504B56"/>
    <w:rsid w:val="00510FDF"/>
    <w:rsid w:val="0051271E"/>
    <w:rsid w:val="00514AE5"/>
    <w:rsid w:val="005150DD"/>
    <w:rsid w:val="0051695D"/>
    <w:rsid w:val="00517AC4"/>
    <w:rsid w:val="00522F4F"/>
    <w:rsid w:val="00524C90"/>
    <w:rsid w:val="005303FE"/>
    <w:rsid w:val="00530DA8"/>
    <w:rsid w:val="0054178F"/>
    <w:rsid w:val="00541D6C"/>
    <w:rsid w:val="00542458"/>
    <w:rsid w:val="00543642"/>
    <w:rsid w:val="00544529"/>
    <w:rsid w:val="00544AAC"/>
    <w:rsid w:val="0054563E"/>
    <w:rsid w:val="00546E68"/>
    <w:rsid w:val="005478EB"/>
    <w:rsid w:val="00553D0D"/>
    <w:rsid w:val="005541C5"/>
    <w:rsid w:val="00555631"/>
    <w:rsid w:val="0055596D"/>
    <w:rsid w:val="00555C7A"/>
    <w:rsid w:val="00556F14"/>
    <w:rsid w:val="005575BE"/>
    <w:rsid w:val="00560D3F"/>
    <w:rsid w:val="00566FA3"/>
    <w:rsid w:val="00567257"/>
    <w:rsid w:val="00576907"/>
    <w:rsid w:val="00577081"/>
    <w:rsid w:val="005771D9"/>
    <w:rsid w:val="005807B5"/>
    <w:rsid w:val="0058086E"/>
    <w:rsid w:val="005837D1"/>
    <w:rsid w:val="00583DA1"/>
    <w:rsid w:val="00585017"/>
    <w:rsid w:val="00594215"/>
    <w:rsid w:val="005A148D"/>
    <w:rsid w:val="005A3E24"/>
    <w:rsid w:val="005B1406"/>
    <w:rsid w:val="005B1FFA"/>
    <w:rsid w:val="005B5600"/>
    <w:rsid w:val="005B6F5A"/>
    <w:rsid w:val="005C0EFF"/>
    <w:rsid w:val="005C1979"/>
    <w:rsid w:val="005C3027"/>
    <w:rsid w:val="005C54AF"/>
    <w:rsid w:val="005D2AA8"/>
    <w:rsid w:val="005D3D9D"/>
    <w:rsid w:val="005D4293"/>
    <w:rsid w:val="005D55F6"/>
    <w:rsid w:val="005D6054"/>
    <w:rsid w:val="005D7EA8"/>
    <w:rsid w:val="005E2B2A"/>
    <w:rsid w:val="005E443F"/>
    <w:rsid w:val="005E6FEF"/>
    <w:rsid w:val="005F3FAC"/>
    <w:rsid w:val="005F4CE9"/>
    <w:rsid w:val="005F75C3"/>
    <w:rsid w:val="005F7DA3"/>
    <w:rsid w:val="0060094C"/>
    <w:rsid w:val="00607EC5"/>
    <w:rsid w:val="00610FA2"/>
    <w:rsid w:val="00612FF1"/>
    <w:rsid w:val="006169C9"/>
    <w:rsid w:val="00617294"/>
    <w:rsid w:val="00617C97"/>
    <w:rsid w:val="00620ED5"/>
    <w:rsid w:val="00622F6A"/>
    <w:rsid w:val="00623D3B"/>
    <w:rsid w:val="00623FE0"/>
    <w:rsid w:val="006252BC"/>
    <w:rsid w:val="00626439"/>
    <w:rsid w:val="006272A5"/>
    <w:rsid w:val="006356A8"/>
    <w:rsid w:val="00640B7B"/>
    <w:rsid w:val="00641932"/>
    <w:rsid w:val="006462B1"/>
    <w:rsid w:val="00655E87"/>
    <w:rsid w:val="0066375D"/>
    <w:rsid w:val="0066397C"/>
    <w:rsid w:val="00665EC3"/>
    <w:rsid w:val="006663AF"/>
    <w:rsid w:val="00666700"/>
    <w:rsid w:val="00666C32"/>
    <w:rsid w:val="00667174"/>
    <w:rsid w:val="006713B6"/>
    <w:rsid w:val="00673804"/>
    <w:rsid w:val="00674DC2"/>
    <w:rsid w:val="006835EF"/>
    <w:rsid w:val="0068510E"/>
    <w:rsid w:val="0068582C"/>
    <w:rsid w:val="006871A3"/>
    <w:rsid w:val="00692D1B"/>
    <w:rsid w:val="0069666C"/>
    <w:rsid w:val="00697145"/>
    <w:rsid w:val="006A7AAB"/>
    <w:rsid w:val="006B01E9"/>
    <w:rsid w:val="006B13ED"/>
    <w:rsid w:val="006B1715"/>
    <w:rsid w:val="006B4503"/>
    <w:rsid w:val="006B6926"/>
    <w:rsid w:val="006C0550"/>
    <w:rsid w:val="006C255F"/>
    <w:rsid w:val="006C25D5"/>
    <w:rsid w:val="006C284B"/>
    <w:rsid w:val="006C2BAF"/>
    <w:rsid w:val="006C3D51"/>
    <w:rsid w:val="006C46C8"/>
    <w:rsid w:val="006C5638"/>
    <w:rsid w:val="006C5A36"/>
    <w:rsid w:val="006C6FF8"/>
    <w:rsid w:val="006C779B"/>
    <w:rsid w:val="006D0D57"/>
    <w:rsid w:val="006D1827"/>
    <w:rsid w:val="006D1AF6"/>
    <w:rsid w:val="006D240D"/>
    <w:rsid w:val="006D2717"/>
    <w:rsid w:val="006D449B"/>
    <w:rsid w:val="006E151A"/>
    <w:rsid w:val="006E36C2"/>
    <w:rsid w:val="006E36DD"/>
    <w:rsid w:val="006E3DB0"/>
    <w:rsid w:val="006E4A73"/>
    <w:rsid w:val="006E4FA5"/>
    <w:rsid w:val="006E5B90"/>
    <w:rsid w:val="006F203A"/>
    <w:rsid w:val="006F4DCC"/>
    <w:rsid w:val="00705668"/>
    <w:rsid w:val="00706384"/>
    <w:rsid w:val="00710263"/>
    <w:rsid w:val="007146D6"/>
    <w:rsid w:val="00714E28"/>
    <w:rsid w:val="0072000F"/>
    <w:rsid w:val="00721CA6"/>
    <w:rsid w:val="007308DE"/>
    <w:rsid w:val="007315F5"/>
    <w:rsid w:val="00734839"/>
    <w:rsid w:val="007401C1"/>
    <w:rsid w:val="0074179D"/>
    <w:rsid w:val="007425A7"/>
    <w:rsid w:val="00755A02"/>
    <w:rsid w:val="007577D5"/>
    <w:rsid w:val="00762B53"/>
    <w:rsid w:val="00763BAE"/>
    <w:rsid w:val="007662C9"/>
    <w:rsid w:val="00766307"/>
    <w:rsid w:val="007816E1"/>
    <w:rsid w:val="00784FBF"/>
    <w:rsid w:val="00785105"/>
    <w:rsid w:val="007854A2"/>
    <w:rsid w:val="0078704C"/>
    <w:rsid w:val="00790D22"/>
    <w:rsid w:val="00790EC5"/>
    <w:rsid w:val="00792610"/>
    <w:rsid w:val="0079467A"/>
    <w:rsid w:val="00794B88"/>
    <w:rsid w:val="00796004"/>
    <w:rsid w:val="00796857"/>
    <w:rsid w:val="007978A5"/>
    <w:rsid w:val="007978F1"/>
    <w:rsid w:val="007A1A83"/>
    <w:rsid w:val="007A23DF"/>
    <w:rsid w:val="007A3D0C"/>
    <w:rsid w:val="007A6B55"/>
    <w:rsid w:val="007A723C"/>
    <w:rsid w:val="007B0E88"/>
    <w:rsid w:val="007B1043"/>
    <w:rsid w:val="007B1822"/>
    <w:rsid w:val="007B20DD"/>
    <w:rsid w:val="007B6551"/>
    <w:rsid w:val="007B6670"/>
    <w:rsid w:val="007C3491"/>
    <w:rsid w:val="007C4F15"/>
    <w:rsid w:val="007C5681"/>
    <w:rsid w:val="007C77A2"/>
    <w:rsid w:val="007D1281"/>
    <w:rsid w:val="007D3775"/>
    <w:rsid w:val="007D4270"/>
    <w:rsid w:val="007D4B7F"/>
    <w:rsid w:val="007D4F7A"/>
    <w:rsid w:val="007D6E58"/>
    <w:rsid w:val="007D7983"/>
    <w:rsid w:val="007E3713"/>
    <w:rsid w:val="007E4869"/>
    <w:rsid w:val="007F175D"/>
    <w:rsid w:val="007F3BFA"/>
    <w:rsid w:val="007F4742"/>
    <w:rsid w:val="00800E63"/>
    <w:rsid w:val="00801CD7"/>
    <w:rsid w:val="00802C1A"/>
    <w:rsid w:val="00803D5F"/>
    <w:rsid w:val="008045A5"/>
    <w:rsid w:val="0080490D"/>
    <w:rsid w:val="00806F9E"/>
    <w:rsid w:val="00811ADA"/>
    <w:rsid w:val="00812CA7"/>
    <w:rsid w:val="00813903"/>
    <w:rsid w:val="00814C9A"/>
    <w:rsid w:val="008157F3"/>
    <w:rsid w:val="0081644D"/>
    <w:rsid w:val="0082069A"/>
    <w:rsid w:val="008224F6"/>
    <w:rsid w:val="00822E1A"/>
    <w:rsid w:val="00824644"/>
    <w:rsid w:val="00830796"/>
    <w:rsid w:val="00831C1F"/>
    <w:rsid w:val="00834454"/>
    <w:rsid w:val="008363BA"/>
    <w:rsid w:val="0083739F"/>
    <w:rsid w:val="00842845"/>
    <w:rsid w:val="00842BF7"/>
    <w:rsid w:val="008470E8"/>
    <w:rsid w:val="00847399"/>
    <w:rsid w:val="00850D19"/>
    <w:rsid w:val="00854D50"/>
    <w:rsid w:val="0085723C"/>
    <w:rsid w:val="008628CD"/>
    <w:rsid w:val="0086493C"/>
    <w:rsid w:val="00864C46"/>
    <w:rsid w:val="0087266D"/>
    <w:rsid w:val="00875239"/>
    <w:rsid w:val="00875715"/>
    <w:rsid w:val="00880D6A"/>
    <w:rsid w:val="00884597"/>
    <w:rsid w:val="0088516D"/>
    <w:rsid w:val="00885A2D"/>
    <w:rsid w:val="0089386B"/>
    <w:rsid w:val="00894BA8"/>
    <w:rsid w:val="0089682B"/>
    <w:rsid w:val="008A1238"/>
    <w:rsid w:val="008A3F72"/>
    <w:rsid w:val="008A56D8"/>
    <w:rsid w:val="008A7820"/>
    <w:rsid w:val="008B1D13"/>
    <w:rsid w:val="008B2048"/>
    <w:rsid w:val="008C2A9E"/>
    <w:rsid w:val="008C30E0"/>
    <w:rsid w:val="008C5B22"/>
    <w:rsid w:val="008C66E9"/>
    <w:rsid w:val="008C7C6B"/>
    <w:rsid w:val="008D0877"/>
    <w:rsid w:val="008D494F"/>
    <w:rsid w:val="008D56E6"/>
    <w:rsid w:val="008D62FE"/>
    <w:rsid w:val="008D74BD"/>
    <w:rsid w:val="008D7572"/>
    <w:rsid w:val="008D7D5C"/>
    <w:rsid w:val="008E3408"/>
    <w:rsid w:val="008F168E"/>
    <w:rsid w:val="008F2907"/>
    <w:rsid w:val="008F3467"/>
    <w:rsid w:val="008F5032"/>
    <w:rsid w:val="00900444"/>
    <w:rsid w:val="009017DB"/>
    <w:rsid w:val="00901DB0"/>
    <w:rsid w:val="00902101"/>
    <w:rsid w:val="00902C55"/>
    <w:rsid w:val="00904C26"/>
    <w:rsid w:val="00910B91"/>
    <w:rsid w:val="0091525C"/>
    <w:rsid w:val="0091688E"/>
    <w:rsid w:val="00917A9D"/>
    <w:rsid w:val="00917D28"/>
    <w:rsid w:val="0092283B"/>
    <w:rsid w:val="00923B78"/>
    <w:rsid w:val="00923D9E"/>
    <w:rsid w:val="00925B2C"/>
    <w:rsid w:val="0093079B"/>
    <w:rsid w:val="00932C40"/>
    <w:rsid w:val="00936282"/>
    <w:rsid w:val="009366D3"/>
    <w:rsid w:val="00944051"/>
    <w:rsid w:val="0094779F"/>
    <w:rsid w:val="00951884"/>
    <w:rsid w:val="00955D1C"/>
    <w:rsid w:val="009608A7"/>
    <w:rsid w:val="00960E87"/>
    <w:rsid w:val="0096437A"/>
    <w:rsid w:val="00971BE3"/>
    <w:rsid w:val="00972226"/>
    <w:rsid w:val="009739E6"/>
    <w:rsid w:val="009760C8"/>
    <w:rsid w:val="009764CF"/>
    <w:rsid w:val="00981C23"/>
    <w:rsid w:val="00983CD4"/>
    <w:rsid w:val="00984506"/>
    <w:rsid w:val="009847F2"/>
    <w:rsid w:val="00985510"/>
    <w:rsid w:val="00986F23"/>
    <w:rsid w:val="00987FE7"/>
    <w:rsid w:val="00993E2E"/>
    <w:rsid w:val="00996675"/>
    <w:rsid w:val="00997E80"/>
    <w:rsid w:val="009A01CD"/>
    <w:rsid w:val="009B06D8"/>
    <w:rsid w:val="009B1B86"/>
    <w:rsid w:val="009B1E08"/>
    <w:rsid w:val="009B2016"/>
    <w:rsid w:val="009B5BC3"/>
    <w:rsid w:val="009C0D38"/>
    <w:rsid w:val="009C1978"/>
    <w:rsid w:val="009C204F"/>
    <w:rsid w:val="009C32FE"/>
    <w:rsid w:val="009C3F5C"/>
    <w:rsid w:val="009C4255"/>
    <w:rsid w:val="009C53ED"/>
    <w:rsid w:val="009C600B"/>
    <w:rsid w:val="009C640B"/>
    <w:rsid w:val="009C77C7"/>
    <w:rsid w:val="009C78C8"/>
    <w:rsid w:val="009D1781"/>
    <w:rsid w:val="009D31AD"/>
    <w:rsid w:val="009D4A70"/>
    <w:rsid w:val="009D5B57"/>
    <w:rsid w:val="009E36B4"/>
    <w:rsid w:val="009E5A91"/>
    <w:rsid w:val="009E5C0F"/>
    <w:rsid w:val="009E6865"/>
    <w:rsid w:val="009F261B"/>
    <w:rsid w:val="009F42BB"/>
    <w:rsid w:val="009F5977"/>
    <w:rsid w:val="009F7EF7"/>
    <w:rsid w:val="00A02C88"/>
    <w:rsid w:val="00A0451D"/>
    <w:rsid w:val="00A056EF"/>
    <w:rsid w:val="00A05C19"/>
    <w:rsid w:val="00A06BDE"/>
    <w:rsid w:val="00A113C5"/>
    <w:rsid w:val="00A22810"/>
    <w:rsid w:val="00A272BA"/>
    <w:rsid w:val="00A31845"/>
    <w:rsid w:val="00A33CA3"/>
    <w:rsid w:val="00A33FA7"/>
    <w:rsid w:val="00A34271"/>
    <w:rsid w:val="00A35052"/>
    <w:rsid w:val="00A35AAB"/>
    <w:rsid w:val="00A35E28"/>
    <w:rsid w:val="00A37D99"/>
    <w:rsid w:val="00A42EF6"/>
    <w:rsid w:val="00A44019"/>
    <w:rsid w:val="00A44551"/>
    <w:rsid w:val="00A473EC"/>
    <w:rsid w:val="00A50BDD"/>
    <w:rsid w:val="00A53CDA"/>
    <w:rsid w:val="00A54DC1"/>
    <w:rsid w:val="00A559C8"/>
    <w:rsid w:val="00A55CA8"/>
    <w:rsid w:val="00A61789"/>
    <w:rsid w:val="00A61790"/>
    <w:rsid w:val="00A61C7E"/>
    <w:rsid w:val="00A62785"/>
    <w:rsid w:val="00A671D3"/>
    <w:rsid w:val="00A71A64"/>
    <w:rsid w:val="00A7264B"/>
    <w:rsid w:val="00A77236"/>
    <w:rsid w:val="00A800CE"/>
    <w:rsid w:val="00A80BE1"/>
    <w:rsid w:val="00A82423"/>
    <w:rsid w:val="00A845A9"/>
    <w:rsid w:val="00A84E3B"/>
    <w:rsid w:val="00A8634D"/>
    <w:rsid w:val="00A874A9"/>
    <w:rsid w:val="00A92050"/>
    <w:rsid w:val="00A92E95"/>
    <w:rsid w:val="00A935A0"/>
    <w:rsid w:val="00A936A3"/>
    <w:rsid w:val="00A94681"/>
    <w:rsid w:val="00A946D8"/>
    <w:rsid w:val="00AA3ACB"/>
    <w:rsid w:val="00AA404F"/>
    <w:rsid w:val="00AB0DAA"/>
    <w:rsid w:val="00AB1528"/>
    <w:rsid w:val="00AB1896"/>
    <w:rsid w:val="00AB331C"/>
    <w:rsid w:val="00AB6DC9"/>
    <w:rsid w:val="00AC2634"/>
    <w:rsid w:val="00AC30C2"/>
    <w:rsid w:val="00AC3148"/>
    <w:rsid w:val="00AC333D"/>
    <w:rsid w:val="00AC3430"/>
    <w:rsid w:val="00AC4280"/>
    <w:rsid w:val="00AC4BC5"/>
    <w:rsid w:val="00AC767C"/>
    <w:rsid w:val="00AC7A3C"/>
    <w:rsid w:val="00AD52F5"/>
    <w:rsid w:val="00AD6221"/>
    <w:rsid w:val="00AD636F"/>
    <w:rsid w:val="00AD6DEC"/>
    <w:rsid w:val="00AD7B91"/>
    <w:rsid w:val="00AE00AF"/>
    <w:rsid w:val="00AE0388"/>
    <w:rsid w:val="00AE2575"/>
    <w:rsid w:val="00AE3239"/>
    <w:rsid w:val="00AE4C30"/>
    <w:rsid w:val="00AF0EBD"/>
    <w:rsid w:val="00AF26B7"/>
    <w:rsid w:val="00B020EB"/>
    <w:rsid w:val="00B02C3D"/>
    <w:rsid w:val="00B03644"/>
    <w:rsid w:val="00B03E51"/>
    <w:rsid w:val="00B04DA7"/>
    <w:rsid w:val="00B063B4"/>
    <w:rsid w:val="00B07405"/>
    <w:rsid w:val="00B07C09"/>
    <w:rsid w:val="00B13356"/>
    <w:rsid w:val="00B169B7"/>
    <w:rsid w:val="00B176F0"/>
    <w:rsid w:val="00B2171F"/>
    <w:rsid w:val="00B23FA3"/>
    <w:rsid w:val="00B2576B"/>
    <w:rsid w:val="00B26C11"/>
    <w:rsid w:val="00B3021A"/>
    <w:rsid w:val="00B35191"/>
    <w:rsid w:val="00B35706"/>
    <w:rsid w:val="00B36E60"/>
    <w:rsid w:val="00B4117F"/>
    <w:rsid w:val="00B41BD3"/>
    <w:rsid w:val="00B42AB7"/>
    <w:rsid w:val="00B453E1"/>
    <w:rsid w:val="00B471C7"/>
    <w:rsid w:val="00B50C0A"/>
    <w:rsid w:val="00B52601"/>
    <w:rsid w:val="00B536E9"/>
    <w:rsid w:val="00B55001"/>
    <w:rsid w:val="00B60543"/>
    <w:rsid w:val="00B619FD"/>
    <w:rsid w:val="00B67899"/>
    <w:rsid w:val="00B70469"/>
    <w:rsid w:val="00B70F86"/>
    <w:rsid w:val="00B720B7"/>
    <w:rsid w:val="00B7529E"/>
    <w:rsid w:val="00B76D06"/>
    <w:rsid w:val="00B77199"/>
    <w:rsid w:val="00B771F8"/>
    <w:rsid w:val="00B80055"/>
    <w:rsid w:val="00B85A3E"/>
    <w:rsid w:val="00B870EB"/>
    <w:rsid w:val="00B90652"/>
    <w:rsid w:val="00B965B9"/>
    <w:rsid w:val="00BA0414"/>
    <w:rsid w:val="00BA1C56"/>
    <w:rsid w:val="00BA2949"/>
    <w:rsid w:val="00BA3B74"/>
    <w:rsid w:val="00BA4BBE"/>
    <w:rsid w:val="00BA6D04"/>
    <w:rsid w:val="00BA6FBD"/>
    <w:rsid w:val="00BA7008"/>
    <w:rsid w:val="00BB1CD9"/>
    <w:rsid w:val="00BB55A0"/>
    <w:rsid w:val="00BB6762"/>
    <w:rsid w:val="00BB6C1D"/>
    <w:rsid w:val="00BC3AC6"/>
    <w:rsid w:val="00BC3F82"/>
    <w:rsid w:val="00BC58AE"/>
    <w:rsid w:val="00BD26A7"/>
    <w:rsid w:val="00BD569A"/>
    <w:rsid w:val="00BD5E25"/>
    <w:rsid w:val="00BD69AC"/>
    <w:rsid w:val="00BD79A8"/>
    <w:rsid w:val="00BE37C0"/>
    <w:rsid w:val="00BE6CFB"/>
    <w:rsid w:val="00BE78C9"/>
    <w:rsid w:val="00BF11DD"/>
    <w:rsid w:val="00BF1560"/>
    <w:rsid w:val="00BF22D0"/>
    <w:rsid w:val="00BF3C7C"/>
    <w:rsid w:val="00BF4D14"/>
    <w:rsid w:val="00BF4FBA"/>
    <w:rsid w:val="00BF522D"/>
    <w:rsid w:val="00BF7F22"/>
    <w:rsid w:val="00C00D27"/>
    <w:rsid w:val="00C02E3A"/>
    <w:rsid w:val="00C1164C"/>
    <w:rsid w:val="00C1178E"/>
    <w:rsid w:val="00C11CC3"/>
    <w:rsid w:val="00C13B0E"/>
    <w:rsid w:val="00C14434"/>
    <w:rsid w:val="00C17418"/>
    <w:rsid w:val="00C2177C"/>
    <w:rsid w:val="00C23452"/>
    <w:rsid w:val="00C25717"/>
    <w:rsid w:val="00C26158"/>
    <w:rsid w:val="00C269FC"/>
    <w:rsid w:val="00C30536"/>
    <w:rsid w:val="00C31B36"/>
    <w:rsid w:val="00C36B00"/>
    <w:rsid w:val="00C40B0E"/>
    <w:rsid w:val="00C43D29"/>
    <w:rsid w:val="00C47A1A"/>
    <w:rsid w:val="00C503B6"/>
    <w:rsid w:val="00C52798"/>
    <w:rsid w:val="00C5435D"/>
    <w:rsid w:val="00C57F5D"/>
    <w:rsid w:val="00C61303"/>
    <w:rsid w:val="00C62410"/>
    <w:rsid w:val="00C62F1F"/>
    <w:rsid w:val="00C6522B"/>
    <w:rsid w:val="00C65DFF"/>
    <w:rsid w:val="00C70467"/>
    <w:rsid w:val="00C71F7E"/>
    <w:rsid w:val="00C7237C"/>
    <w:rsid w:val="00C759D3"/>
    <w:rsid w:val="00C805AC"/>
    <w:rsid w:val="00C80693"/>
    <w:rsid w:val="00C816E4"/>
    <w:rsid w:val="00C81A28"/>
    <w:rsid w:val="00C83904"/>
    <w:rsid w:val="00C83E3A"/>
    <w:rsid w:val="00C8754D"/>
    <w:rsid w:val="00C90D51"/>
    <w:rsid w:val="00C917F4"/>
    <w:rsid w:val="00C93F3C"/>
    <w:rsid w:val="00C943C8"/>
    <w:rsid w:val="00C94ED3"/>
    <w:rsid w:val="00C95992"/>
    <w:rsid w:val="00C9692F"/>
    <w:rsid w:val="00C975F0"/>
    <w:rsid w:val="00CA1AA3"/>
    <w:rsid w:val="00CA5D40"/>
    <w:rsid w:val="00CA65F6"/>
    <w:rsid w:val="00CB039F"/>
    <w:rsid w:val="00CB05BB"/>
    <w:rsid w:val="00CB74FB"/>
    <w:rsid w:val="00CB7D1C"/>
    <w:rsid w:val="00CC3559"/>
    <w:rsid w:val="00CC682A"/>
    <w:rsid w:val="00CD2563"/>
    <w:rsid w:val="00CE4429"/>
    <w:rsid w:val="00CE4785"/>
    <w:rsid w:val="00CF3125"/>
    <w:rsid w:val="00CF34D8"/>
    <w:rsid w:val="00D0164C"/>
    <w:rsid w:val="00D0242E"/>
    <w:rsid w:val="00D025B6"/>
    <w:rsid w:val="00D03368"/>
    <w:rsid w:val="00D039A1"/>
    <w:rsid w:val="00D05263"/>
    <w:rsid w:val="00D06578"/>
    <w:rsid w:val="00D1116E"/>
    <w:rsid w:val="00D138D8"/>
    <w:rsid w:val="00D217F7"/>
    <w:rsid w:val="00D21B5D"/>
    <w:rsid w:val="00D2494C"/>
    <w:rsid w:val="00D27601"/>
    <w:rsid w:val="00D35B85"/>
    <w:rsid w:val="00D40820"/>
    <w:rsid w:val="00D45DB8"/>
    <w:rsid w:val="00D5005A"/>
    <w:rsid w:val="00D54891"/>
    <w:rsid w:val="00D55E6A"/>
    <w:rsid w:val="00D57112"/>
    <w:rsid w:val="00D63186"/>
    <w:rsid w:val="00D64D35"/>
    <w:rsid w:val="00D7085D"/>
    <w:rsid w:val="00D776BD"/>
    <w:rsid w:val="00D77EA8"/>
    <w:rsid w:val="00D8204F"/>
    <w:rsid w:val="00D842F8"/>
    <w:rsid w:val="00D8632D"/>
    <w:rsid w:val="00D87592"/>
    <w:rsid w:val="00D91260"/>
    <w:rsid w:val="00D912FE"/>
    <w:rsid w:val="00D91CEE"/>
    <w:rsid w:val="00D924BF"/>
    <w:rsid w:val="00D92876"/>
    <w:rsid w:val="00D94B55"/>
    <w:rsid w:val="00D94EFF"/>
    <w:rsid w:val="00D96548"/>
    <w:rsid w:val="00D9726D"/>
    <w:rsid w:val="00DA25EB"/>
    <w:rsid w:val="00DA69D2"/>
    <w:rsid w:val="00DA7063"/>
    <w:rsid w:val="00DB1759"/>
    <w:rsid w:val="00DB1AAD"/>
    <w:rsid w:val="00DB4B0F"/>
    <w:rsid w:val="00DC01F3"/>
    <w:rsid w:val="00DC107D"/>
    <w:rsid w:val="00DC11C2"/>
    <w:rsid w:val="00DC18C5"/>
    <w:rsid w:val="00DC462B"/>
    <w:rsid w:val="00DC58C8"/>
    <w:rsid w:val="00DD7EA4"/>
    <w:rsid w:val="00DE1C68"/>
    <w:rsid w:val="00DE5F0A"/>
    <w:rsid w:val="00DE6792"/>
    <w:rsid w:val="00DE6FE7"/>
    <w:rsid w:val="00DE7C40"/>
    <w:rsid w:val="00DE7F75"/>
    <w:rsid w:val="00DF0C8A"/>
    <w:rsid w:val="00DF52A8"/>
    <w:rsid w:val="00DF7FAA"/>
    <w:rsid w:val="00E0354B"/>
    <w:rsid w:val="00E04570"/>
    <w:rsid w:val="00E05804"/>
    <w:rsid w:val="00E06C40"/>
    <w:rsid w:val="00E0742C"/>
    <w:rsid w:val="00E113D5"/>
    <w:rsid w:val="00E13D10"/>
    <w:rsid w:val="00E15743"/>
    <w:rsid w:val="00E22309"/>
    <w:rsid w:val="00E24116"/>
    <w:rsid w:val="00E27B13"/>
    <w:rsid w:val="00E31B35"/>
    <w:rsid w:val="00E31D5D"/>
    <w:rsid w:val="00E37E88"/>
    <w:rsid w:val="00E41ABA"/>
    <w:rsid w:val="00E4314F"/>
    <w:rsid w:val="00E44AFB"/>
    <w:rsid w:val="00E45188"/>
    <w:rsid w:val="00E46C7E"/>
    <w:rsid w:val="00E518D7"/>
    <w:rsid w:val="00E5195C"/>
    <w:rsid w:val="00E52A91"/>
    <w:rsid w:val="00E5491F"/>
    <w:rsid w:val="00E5520A"/>
    <w:rsid w:val="00E556F0"/>
    <w:rsid w:val="00E55FEC"/>
    <w:rsid w:val="00E564C3"/>
    <w:rsid w:val="00E57344"/>
    <w:rsid w:val="00E6040A"/>
    <w:rsid w:val="00E615CF"/>
    <w:rsid w:val="00E642D8"/>
    <w:rsid w:val="00E65235"/>
    <w:rsid w:val="00E66B0F"/>
    <w:rsid w:val="00E7044C"/>
    <w:rsid w:val="00E74B2B"/>
    <w:rsid w:val="00E769AD"/>
    <w:rsid w:val="00E76B3A"/>
    <w:rsid w:val="00E80ED1"/>
    <w:rsid w:val="00E810F4"/>
    <w:rsid w:val="00E83E54"/>
    <w:rsid w:val="00E87287"/>
    <w:rsid w:val="00E936A7"/>
    <w:rsid w:val="00E9562C"/>
    <w:rsid w:val="00E978D0"/>
    <w:rsid w:val="00EA3C57"/>
    <w:rsid w:val="00EA4598"/>
    <w:rsid w:val="00EB2A3E"/>
    <w:rsid w:val="00EB2D2D"/>
    <w:rsid w:val="00EB3739"/>
    <w:rsid w:val="00EB53C0"/>
    <w:rsid w:val="00EB6088"/>
    <w:rsid w:val="00EC32DF"/>
    <w:rsid w:val="00EC3CE8"/>
    <w:rsid w:val="00EC4D06"/>
    <w:rsid w:val="00EC57E3"/>
    <w:rsid w:val="00EC6AD0"/>
    <w:rsid w:val="00EC6BEF"/>
    <w:rsid w:val="00ED0C8D"/>
    <w:rsid w:val="00ED219F"/>
    <w:rsid w:val="00ED3943"/>
    <w:rsid w:val="00ED39CD"/>
    <w:rsid w:val="00ED4A39"/>
    <w:rsid w:val="00EE1B37"/>
    <w:rsid w:val="00EE2A93"/>
    <w:rsid w:val="00EF034F"/>
    <w:rsid w:val="00EF27F1"/>
    <w:rsid w:val="00EF50B5"/>
    <w:rsid w:val="00EF62E1"/>
    <w:rsid w:val="00F0036A"/>
    <w:rsid w:val="00F00415"/>
    <w:rsid w:val="00F0237E"/>
    <w:rsid w:val="00F0277D"/>
    <w:rsid w:val="00F03446"/>
    <w:rsid w:val="00F06548"/>
    <w:rsid w:val="00F07B02"/>
    <w:rsid w:val="00F1050D"/>
    <w:rsid w:val="00F15700"/>
    <w:rsid w:val="00F16F89"/>
    <w:rsid w:val="00F172BF"/>
    <w:rsid w:val="00F17BBF"/>
    <w:rsid w:val="00F24B09"/>
    <w:rsid w:val="00F31974"/>
    <w:rsid w:val="00F3244B"/>
    <w:rsid w:val="00F3270E"/>
    <w:rsid w:val="00F342D9"/>
    <w:rsid w:val="00F42E6C"/>
    <w:rsid w:val="00F42F38"/>
    <w:rsid w:val="00F43008"/>
    <w:rsid w:val="00F501E5"/>
    <w:rsid w:val="00F50CBD"/>
    <w:rsid w:val="00F5304C"/>
    <w:rsid w:val="00F53E38"/>
    <w:rsid w:val="00F53FD3"/>
    <w:rsid w:val="00F544FB"/>
    <w:rsid w:val="00F5497D"/>
    <w:rsid w:val="00F57246"/>
    <w:rsid w:val="00F57347"/>
    <w:rsid w:val="00F62656"/>
    <w:rsid w:val="00F62725"/>
    <w:rsid w:val="00F63776"/>
    <w:rsid w:val="00F72915"/>
    <w:rsid w:val="00F74049"/>
    <w:rsid w:val="00F76EEC"/>
    <w:rsid w:val="00F77B5A"/>
    <w:rsid w:val="00F77E71"/>
    <w:rsid w:val="00F80164"/>
    <w:rsid w:val="00F822D2"/>
    <w:rsid w:val="00F82EB8"/>
    <w:rsid w:val="00F939DD"/>
    <w:rsid w:val="00F95455"/>
    <w:rsid w:val="00FA1194"/>
    <w:rsid w:val="00FA233F"/>
    <w:rsid w:val="00FA4BF7"/>
    <w:rsid w:val="00FA5CCE"/>
    <w:rsid w:val="00FA6B73"/>
    <w:rsid w:val="00FB350F"/>
    <w:rsid w:val="00FB4FB1"/>
    <w:rsid w:val="00FB631C"/>
    <w:rsid w:val="00FC29A2"/>
    <w:rsid w:val="00FC391B"/>
    <w:rsid w:val="00FC5CB5"/>
    <w:rsid w:val="00FC69AA"/>
    <w:rsid w:val="00FD245D"/>
    <w:rsid w:val="00FD5F81"/>
    <w:rsid w:val="00FE2ECC"/>
    <w:rsid w:val="00FF2818"/>
    <w:rsid w:val="00FF4947"/>
    <w:rsid w:val="00FF5418"/>
    <w:rsid w:val="00FF554A"/>
    <w:rsid w:val="00FF6FB5"/>
    <w:rsid w:val="00FF74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C798D8D"/>
  <w14:defaultImageDpi w14:val="300"/>
  <w15:docId w15:val="{FD7E53AE-E647-46BF-B4E6-4534A68F6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D1E"/>
    <w:pPr>
      <w:ind w:firstLine="181"/>
      <w:jc w:val="both"/>
    </w:pPr>
    <w:rPr>
      <w:rFonts w:ascii="Times New Roman" w:hAnsi="Times New Roman"/>
    </w:rPr>
  </w:style>
  <w:style w:type="paragraph" w:styleId="Heading1">
    <w:name w:val="heading 1"/>
    <w:basedOn w:val="NormalSectionStart"/>
    <w:next w:val="NormalSectionStart"/>
    <w:link w:val="Heading1Char"/>
    <w:uiPriority w:val="9"/>
    <w:qFormat/>
    <w:pPr>
      <w:keepNext/>
      <w:spacing w:before="200" w:after="60"/>
      <w:jc w:val="center"/>
      <w:outlineLvl w:val="0"/>
    </w:pPr>
    <w:rPr>
      <w:b/>
      <w:sz w:val="24"/>
    </w:rPr>
  </w:style>
  <w:style w:type="paragraph" w:styleId="Heading2">
    <w:name w:val="heading 2"/>
    <w:basedOn w:val="NormalSectionStart"/>
    <w:next w:val="NormalSectionStart"/>
    <w:qFormat/>
    <w:pPr>
      <w:keepNext/>
      <w:spacing w:before="200" w:after="60"/>
      <w:jc w:val="left"/>
      <w:outlineLvl w:val="1"/>
    </w:pPr>
    <w:rPr>
      <w:b/>
      <w:sz w:val="22"/>
    </w:rPr>
  </w:style>
  <w:style w:type="paragraph" w:styleId="Heading3">
    <w:name w:val="heading 3"/>
    <w:basedOn w:val="NormalSectionStart"/>
    <w:next w:val="Normal"/>
    <w:qFormat/>
    <w:pPr>
      <w:keepNext/>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SectionStart">
    <w:name w:val="Normal Section Start"/>
    <w:basedOn w:val="Normal"/>
    <w:next w:val="Normal"/>
    <w:rsid w:val="000A2C97"/>
    <w:pPr>
      <w:ind w:firstLine="0"/>
    </w:pPr>
    <w:rPr>
      <w:rFonts w:eastAsia="Times New Roman"/>
    </w:rPr>
  </w:style>
  <w:style w:type="paragraph" w:customStyle="1" w:styleId="ntranscript">
    <w:name w:val="ntranscript"/>
    <w:basedOn w:val="Normal"/>
    <w:pPr>
      <w:tabs>
        <w:tab w:val="left" w:pos="360"/>
      </w:tabs>
      <w:ind w:left="1440" w:hanging="1440"/>
    </w:pPr>
    <w:rPr>
      <w:rFonts w:ascii="Palatino" w:hAnsi="Palatino"/>
    </w:rPr>
  </w:style>
  <w:style w:type="paragraph" w:styleId="FootnoteText">
    <w:name w:val="footnote text"/>
    <w:basedOn w:val="Normal"/>
    <w:semiHidden/>
    <w:rPr>
      <w:sz w:val="18"/>
    </w:rPr>
  </w:style>
  <w:style w:type="character" w:styleId="FootnoteReference">
    <w:name w:val="footnote reference"/>
    <w:semiHidden/>
    <w:rPr>
      <w:vertAlign w:val="superscript"/>
    </w:rPr>
  </w:style>
  <w:style w:type="paragraph" w:customStyle="1" w:styleId="Figure">
    <w:name w:val="Figure"/>
    <w:basedOn w:val="NormalSectionStart"/>
    <w:rsid w:val="00564D1E"/>
    <w:pPr>
      <w:ind w:firstLine="187"/>
      <w:jc w:val="center"/>
    </w:pPr>
  </w:style>
  <w:style w:type="paragraph" w:customStyle="1" w:styleId="NormalHeading3">
    <w:name w:val="Normal Heading 3"/>
    <w:basedOn w:val="NormalSectionStart"/>
    <w:next w:val="Normal"/>
    <w:rsid w:val="00564D1E"/>
    <w:pPr>
      <w:spacing w:before="240"/>
    </w:pPr>
  </w:style>
  <w:style w:type="paragraph" w:customStyle="1" w:styleId="TableContent">
    <w:name w:val="Table Content"/>
    <w:basedOn w:val="NormalSectionStart"/>
    <w:rsid w:val="00564D1E"/>
  </w:style>
  <w:style w:type="paragraph" w:customStyle="1" w:styleId="Reference">
    <w:name w:val="Reference"/>
    <w:basedOn w:val="Normal"/>
    <w:rsid w:val="00564D1E"/>
    <w:pPr>
      <w:ind w:left="181" w:hanging="181"/>
    </w:pPr>
    <w:rPr>
      <w:rFonts w:eastAsia="Times New Roman"/>
    </w:rPr>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paragraph" w:customStyle="1" w:styleId="Abstracttext">
    <w:name w:val="Abstract text"/>
    <w:basedOn w:val="NormalSectionStart"/>
    <w:rsid w:val="00BB4949"/>
    <w:pPr>
      <w:spacing w:line="200" w:lineRule="exact"/>
      <w:ind w:left="181" w:right="181"/>
    </w:pPr>
    <w:rPr>
      <w:sz w:val="18"/>
    </w:rPr>
  </w:style>
  <w:style w:type="paragraph" w:customStyle="1" w:styleId="Abstractheading">
    <w:name w:val="Abstract heading"/>
    <w:basedOn w:val="Heading1"/>
    <w:next w:val="Abstracttext"/>
    <w:pPr>
      <w:spacing w:before="0" w:after="200"/>
    </w:pPr>
    <w:rPr>
      <w:sz w:val="20"/>
    </w:rPr>
  </w:style>
  <w:style w:type="paragraph" w:customStyle="1" w:styleId="Authorname">
    <w:name w:val="Author name"/>
    <w:basedOn w:val="NormalSectionStart"/>
    <w:next w:val="Affiliation"/>
    <w:pPr>
      <w:jc w:val="center"/>
      <w:outlineLvl w:val="0"/>
    </w:pPr>
    <w:rPr>
      <w:b/>
      <w:sz w:val="22"/>
    </w:rPr>
  </w:style>
  <w:style w:type="paragraph" w:customStyle="1" w:styleId="Affiliation">
    <w:name w:val="Affiliation"/>
    <w:basedOn w:val="NormalSectionStart"/>
    <w:pPr>
      <w:jc w:val="center"/>
      <w:outlineLvl w:val="0"/>
    </w:pPr>
  </w:style>
  <w:style w:type="paragraph" w:styleId="Title">
    <w:name w:val="Title"/>
    <w:basedOn w:val="NormalSectionStart"/>
    <w:next w:val="Authorname"/>
    <w:qFormat/>
    <w:pPr>
      <w:jc w:val="center"/>
      <w:outlineLvl w:val="0"/>
    </w:pPr>
    <w:rPr>
      <w:b/>
      <w:kern w:val="28"/>
      <w:sz w:val="28"/>
    </w:rPr>
  </w:style>
  <w:style w:type="paragraph" w:styleId="Caption">
    <w:name w:val="caption"/>
    <w:basedOn w:val="NormalSectionStart"/>
    <w:next w:val="NormalSectionStart"/>
    <w:qFormat/>
    <w:rsid w:val="000A2C97"/>
    <w:pPr>
      <w:jc w:val="center"/>
    </w:pPr>
  </w:style>
  <w:style w:type="paragraph" w:styleId="BalloonText">
    <w:name w:val="Balloon Text"/>
    <w:basedOn w:val="Normal"/>
    <w:link w:val="BalloonTextChar"/>
    <w:uiPriority w:val="99"/>
    <w:semiHidden/>
    <w:unhideWhenUsed/>
    <w:rsid w:val="00E24116"/>
    <w:rPr>
      <w:sz w:val="18"/>
      <w:szCs w:val="18"/>
    </w:rPr>
  </w:style>
  <w:style w:type="character" w:customStyle="1" w:styleId="BalloonTextChar">
    <w:name w:val="Balloon Text Char"/>
    <w:basedOn w:val="DefaultParagraphFont"/>
    <w:link w:val="BalloonText"/>
    <w:uiPriority w:val="99"/>
    <w:semiHidden/>
    <w:rsid w:val="00E24116"/>
    <w:rPr>
      <w:rFonts w:ascii="Times New Roman" w:hAnsi="Times New Roman"/>
      <w:sz w:val="18"/>
      <w:szCs w:val="18"/>
    </w:rPr>
  </w:style>
  <w:style w:type="paragraph" w:styleId="Revision">
    <w:name w:val="Revision"/>
    <w:hidden/>
    <w:uiPriority w:val="71"/>
    <w:rsid w:val="00B2576B"/>
    <w:rPr>
      <w:rFonts w:ascii="Times New Roman" w:hAnsi="Times New Roman"/>
    </w:rPr>
  </w:style>
  <w:style w:type="paragraph" w:customStyle="1" w:styleId="Default">
    <w:name w:val="Default"/>
    <w:rsid w:val="00120B19"/>
    <w:pPr>
      <w:autoSpaceDE w:val="0"/>
      <w:autoSpaceDN w:val="0"/>
      <w:adjustRightInd w:val="0"/>
    </w:pPr>
    <w:rPr>
      <w:rFonts w:ascii="Times New Roman" w:hAnsi="Times New Roman"/>
      <w:color w:val="000000"/>
      <w:sz w:val="24"/>
      <w:szCs w:val="24"/>
      <w:lang w:val="en-GB"/>
    </w:rPr>
  </w:style>
  <w:style w:type="table" w:styleId="TableGrid">
    <w:name w:val="Table Grid"/>
    <w:basedOn w:val="TableNormal"/>
    <w:uiPriority w:val="39"/>
    <w:rsid w:val="009643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text">
    <w:name w:val="6 - text"/>
    <w:basedOn w:val="Normal"/>
    <w:qFormat/>
    <w:rsid w:val="00577081"/>
    <w:pPr>
      <w:spacing w:line="480" w:lineRule="auto"/>
      <w:ind w:firstLine="0"/>
      <w:jc w:val="left"/>
    </w:pPr>
    <w:rPr>
      <w:rFonts w:eastAsiaTheme="minorEastAsia"/>
      <w:sz w:val="24"/>
      <w:szCs w:val="24"/>
    </w:rPr>
  </w:style>
  <w:style w:type="paragraph" w:styleId="Header">
    <w:name w:val="header"/>
    <w:basedOn w:val="Normal"/>
    <w:link w:val="HeaderChar"/>
    <w:uiPriority w:val="99"/>
    <w:unhideWhenUsed/>
    <w:rsid w:val="00B07405"/>
    <w:pPr>
      <w:tabs>
        <w:tab w:val="center" w:pos="4680"/>
        <w:tab w:val="right" w:pos="9360"/>
      </w:tabs>
    </w:pPr>
  </w:style>
  <w:style w:type="character" w:customStyle="1" w:styleId="HeaderChar">
    <w:name w:val="Header Char"/>
    <w:basedOn w:val="DefaultParagraphFont"/>
    <w:link w:val="Header"/>
    <w:uiPriority w:val="99"/>
    <w:rsid w:val="00B07405"/>
    <w:rPr>
      <w:rFonts w:ascii="Times New Roman" w:hAnsi="Times New Roman"/>
    </w:rPr>
  </w:style>
  <w:style w:type="paragraph" w:styleId="Footer">
    <w:name w:val="footer"/>
    <w:basedOn w:val="Normal"/>
    <w:link w:val="FooterChar"/>
    <w:uiPriority w:val="99"/>
    <w:unhideWhenUsed/>
    <w:rsid w:val="00B07405"/>
    <w:pPr>
      <w:tabs>
        <w:tab w:val="center" w:pos="4680"/>
        <w:tab w:val="right" w:pos="9360"/>
      </w:tabs>
    </w:pPr>
  </w:style>
  <w:style w:type="character" w:customStyle="1" w:styleId="FooterChar">
    <w:name w:val="Footer Char"/>
    <w:basedOn w:val="DefaultParagraphFont"/>
    <w:link w:val="Footer"/>
    <w:uiPriority w:val="99"/>
    <w:rsid w:val="00B07405"/>
    <w:rPr>
      <w:rFonts w:ascii="Times New Roman" w:hAnsi="Times New Roman"/>
    </w:rPr>
  </w:style>
  <w:style w:type="character" w:styleId="Emphasis">
    <w:name w:val="Emphasis"/>
    <w:basedOn w:val="DefaultParagraphFont"/>
    <w:uiPriority w:val="20"/>
    <w:qFormat/>
    <w:rsid w:val="00B536E9"/>
    <w:rPr>
      <w:i/>
      <w:iCs/>
    </w:rPr>
  </w:style>
  <w:style w:type="character" w:customStyle="1" w:styleId="c-bibliographic-informationvalue">
    <w:name w:val="c-bibliographic-information__value"/>
    <w:basedOn w:val="DefaultParagraphFont"/>
    <w:rsid w:val="00900444"/>
  </w:style>
  <w:style w:type="character" w:styleId="UnresolvedMention">
    <w:name w:val="Unresolved Mention"/>
    <w:basedOn w:val="DefaultParagraphFont"/>
    <w:uiPriority w:val="99"/>
    <w:semiHidden/>
    <w:unhideWhenUsed/>
    <w:rsid w:val="005C54AF"/>
    <w:rPr>
      <w:color w:val="605E5C"/>
      <w:shd w:val="clear" w:color="auto" w:fill="E1DFDD"/>
    </w:rPr>
  </w:style>
  <w:style w:type="character" w:customStyle="1" w:styleId="Heading1Char">
    <w:name w:val="Heading 1 Char"/>
    <w:basedOn w:val="DefaultParagraphFont"/>
    <w:link w:val="Heading1"/>
    <w:uiPriority w:val="9"/>
    <w:rsid w:val="00E31D5D"/>
    <w:rPr>
      <w:rFonts w:ascii="Times New Roman" w:eastAsia="Times New Roman" w:hAnsi="Times New Roman"/>
      <w:b/>
      <w:sz w:val="24"/>
    </w:rPr>
  </w:style>
  <w:style w:type="character" w:styleId="FollowedHyperlink">
    <w:name w:val="FollowedHyperlink"/>
    <w:basedOn w:val="DefaultParagraphFont"/>
    <w:uiPriority w:val="99"/>
    <w:semiHidden/>
    <w:unhideWhenUsed/>
    <w:rsid w:val="00E31D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57686">
      <w:bodyDiv w:val="1"/>
      <w:marLeft w:val="0"/>
      <w:marRight w:val="0"/>
      <w:marTop w:val="0"/>
      <w:marBottom w:val="0"/>
      <w:divBdr>
        <w:top w:val="none" w:sz="0" w:space="0" w:color="auto"/>
        <w:left w:val="none" w:sz="0" w:space="0" w:color="auto"/>
        <w:bottom w:val="none" w:sz="0" w:space="0" w:color="auto"/>
        <w:right w:val="none" w:sz="0" w:space="0" w:color="auto"/>
      </w:divBdr>
      <w:divsChild>
        <w:div w:id="1681392343">
          <w:marLeft w:val="0"/>
          <w:marRight w:val="0"/>
          <w:marTop w:val="0"/>
          <w:marBottom w:val="0"/>
          <w:divBdr>
            <w:top w:val="none" w:sz="0" w:space="0" w:color="auto"/>
            <w:left w:val="none" w:sz="0" w:space="0" w:color="auto"/>
            <w:bottom w:val="none" w:sz="0" w:space="0" w:color="auto"/>
            <w:right w:val="none" w:sz="0" w:space="0" w:color="auto"/>
          </w:divBdr>
        </w:div>
      </w:divsChild>
    </w:div>
    <w:div w:id="232547944">
      <w:bodyDiv w:val="1"/>
      <w:marLeft w:val="0"/>
      <w:marRight w:val="0"/>
      <w:marTop w:val="0"/>
      <w:marBottom w:val="0"/>
      <w:divBdr>
        <w:top w:val="none" w:sz="0" w:space="0" w:color="auto"/>
        <w:left w:val="none" w:sz="0" w:space="0" w:color="auto"/>
        <w:bottom w:val="none" w:sz="0" w:space="0" w:color="auto"/>
        <w:right w:val="none" w:sz="0" w:space="0" w:color="auto"/>
      </w:divBdr>
    </w:div>
    <w:div w:id="291180994">
      <w:bodyDiv w:val="1"/>
      <w:marLeft w:val="0"/>
      <w:marRight w:val="0"/>
      <w:marTop w:val="0"/>
      <w:marBottom w:val="0"/>
      <w:divBdr>
        <w:top w:val="none" w:sz="0" w:space="0" w:color="auto"/>
        <w:left w:val="none" w:sz="0" w:space="0" w:color="auto"/>
        <w:bottom w:val="none" w:sz="0" w:space="0" w:color="auto"/>
        <w:right w:val="none" w:sz="0" w:space="0" w:color="auto"/>
      </w:divBdr>
      <w:divsChild>
        <w:div w:id="976376918">
          <w:marLeft w:val="0"/>
          <w:marRight w:val="0"/>
          <w:marTop w:val="0"/>
          <w:marBottom w:val="0"/>
          <w:divBdr>
            <w:top w:val="none" w:sz="0" w:space="0" w:color="auto"/>
            <w:left w:val="none" w:sz="0" w:space="0" w:color="auto"/>
            <w:bottom w:val="none" w:sz="0" w:space="0" w:color="auto"/>
            <w:right w:val="none" w:sz="0" w:space="0" w:color="auto"/>
          </w:divBdr>
        </w:div>
      </w:divsChild>
    </w:div>
    <w:div w:id="408383697">
      <w:bodyDiv w:val="1"/>
      <w:marLeft w:val="0"/>
      <w:marRight w:val="0"/>
      <w:marTop w:val="0"/>
      <w:marBottom w:val="0"/>
      <w:divBdr>
        <w:top w:val="none" w:sz="0" w:space="0" w:color="auto"/>
        <w:left w:val="none" w:sz="0" w:space="0" w:color="auto"/>
        <w:bottom w:val="none" w:sz="0" w:space="0" w:color="auto"/>
        <w:right w:val="none" w:sz="0" w:space="0" w:color="auto"/>
      </w:divBdr>
      <w:divsChild>
        <w:div w:id="1457258903">
          <w:marLeft w:val="0"/>
          <w:marRight w:val="0"/>
          <w:marTop w:val="0"/>
          <w:marBottom w:val="0"/>
          <w:divBdr>
            <w:top w:val="none" w:sz="0" w:space="0" w:color="auto"/>
            <w:left w:val="none" w:sz="0" w:space="0" w:color="auto"/>
            <w:bottom w:val="none" w:sz="0" w:space="0" w:color="auto"/>
            <w:right w:val="none" w:sz="0" w:space="0" w:color="auto"/>
          </w:divBdr>
        </w:div>
      </w:divsChild>
    </w:div>
    <w:div w:id="798256027">
      <w:bodyDiv w:val="1"/>
      <w:marLeft w:val="0"/>
      <w:marRight w:val="0"/>
      <w:marTop w:val="0"/>
      <w:marBottom w:val="0"/>
      <w:divBdr>
        <w:top w:val="none" w:sz="0" w:space="0" w:color="auto"/>
        <w:left w:val="none" w:sz="0" w:space="0" w:color="auto"/>
        <w:bottom w:val="none" w:sz="0" w:space="0" w:color="auto"/>
        <w:right w:val="none" w:sz="0" w:space="0" w:color="auto"/>
      </w:divBdr>
      <w:divsChild>
        <w:div w:id="1291281209">
          <w:marLeft w:val="0"/>
          <w:marRight w:val="0"/>
          <w:marTop w:val="0"/>
          <w:marBottom w:val="0"/>
          <w:divBdr>
            <w:top w:val="none" w:sz="0" w:space="0" w:color="auto"/>
            <w:left w:val="none" w:sz="0" w:space="0" w:color="auto"/>
            <w:bottom w:val="none" w:sz="0" w:space="0" w:color="auto"/>
            <w:right w:val="none" w:sz="0" w:space="0" w:color="auto"/>
          </w:divBdr>
        </w:div>
      </w:divsChild>
    </w:div>
    <w:div w:id="908854664">
      <w:bodyDiv w:val="1"/>
      <w:marLeft w:val="0"/>
      <w:marRight w:val="0"/>
      <w:marTop w:val="0"/>
      <w:marBottom w:val="0"/>
      <w:divBdr>
        <w:top w:val="none" w:sz="0" w:space="0" w:color="auto"/>
        <w:left w:val="none" w:sz="0" w:space="0" w:color="auto"/>
        <w:bottom w:val="none" w:sz="0" w:space="0" w:color="auto"/>
        <w:right w:val="none" w:sz="0" w:space="0" w:color="auto"/>
      </w:divBdr>
      <w:divsChild>
        <w:div w:id="1086610126">
          <w:marLeft w:val="0"/>
          <w:marRight w:val="0"/>
          <w:marTop w:val="0"/>
          <w:marBottom w:val="0"/>
          <w:divBdr>
            <w:top w:val="none" w:sz="0" w:space="0" w:color="auto"/>
            <w:left w:val="none" w:sz="0" w:space="0" w:color="auto"/>
            <w:bottom w:val="none" w:sz="0" w:space="0" w:color="auto"/>
            <w:right w:val="none" w:sz="0" w:space="0" w:color="auto"/>
          </w:divBdr>
        </w:div>
      </w:divsChild>
    </w:div>
    <w:div w:id="999382242">
      <w:bodyDiv w:val="1"/>
      <w:marLeft w:val="0"/>
      <w:marRight w:val="0"/>
      <w:marTop w:val="0"/>
      <w:marBottom w:val="0"/>
      <w:divBdr>
        <w:top w:val="none" w:sz="0" w:space="0" w:color="auto"/>
        <w:left w:val="none" w:sz="0" w:space="0" w:color="auto"/>
        <w:bottom w:val="none" w:sz="0" w:space="0" w:color="auto"/>
        <w:right w:val="none" w:sz="0" w:space="0" w:color="auto"/>
      </w:divBdr>
      <w:divsChild>
        <w:div w:id="805928060">
          <w:marLeft w:val="0"/>
          <w:marRight w:val="0"/>
          <w:marTop w:val="0"/>
          <w:marBottom w:val="0"/>
          <w:divBdr>
            <w:top w:val="none" w:sz="0" w:space="0" w:color="auto"/>
            <w:left w:val="none" w:sz="0" w:space="0" w:color="auto"/>
            <w:bottom w:val="none" w:sz="0" w:space="0" w:color="auto"/>
            <w:right w:val="none" w:sz="0" w:space="0" w:color="auto"/>
          </w:divBdr>
        </w:div>
      </w:divsChild>
    </w:div>
    <w:div w:id="1259949518">
      <w:bodyDiv w:val="1"/>
      <w:marLeft w:val="0"/>
      <w:marRight w:val="0"/>
      <w:marTop w:val="0"/>
      <w:marBottom w:val="0"/>
      <w:divBdr>
        <w:top w:val="none" w:sz="0" w:space="0" w:color="auto"/>
        <w:left w:val="none" w:sz="0" w:space="0" w:color="auto"/>
        <w:bottom w:val="none" w:sz="0" w:space="0" w:color="auto"/>
        <w:right w:val="none" w:sz="0" w:space="0" w:color="auto"/>
      </w:divBdr>
      <w:divsChild>
        <w:div w:id="72745599">
          <w:marLeft w:val="0"/>
          <w:marRight w:val="0"/>
          <w:marTop w:val="0"/>
          <w:marBottom w:val="0"/>
          <w:divBdr>
            <w:top w:val="none" w:sz="0" w:space="0" w:color="auto"/>
            <w:left w:val="none" w:sz="0" w:space="0" w:color="auto"/>
            <w:bottom w:val="none" w:sz="0" w:space="0" w:color="auto"/>
            <w:right w:val="none" w:sz="0" w:space="0" w:color="auto"/>
          </w:divBdr>
        </w:div>
      </w:divsChild>
    </w:div>
    <w:div w:id="1355501295">
      <w:bodyDiv w:val="1"/>
      <w:marLeft w:val="0"/>
      <w:marRight w:val="0"/>
      <w:marTop w:val="0"/>
      <w:marBottom w:val="0"/>
      <w:divBdr>
        <w:top w:val="none" w:sz="0" w:space="0" w:color="auto"/>
        <w:left w:val="none" w:sz="0" w:space="0" w:color="auto"/>
        <w:bottom w:val="none" w:sz="0" w:space="0" w:color="auto"/>
        <w:right w:val="none" w:sz="0" w:space="0" w:color="auto"/>
      </w:divBdr>
      <w:divsChild>
        <w:div w:id="1392732069">
          <w:marLeft w:val="0"/>
          <w:marRight w:val="0"/>
          <w:marTop w:val="0"/>
          <w:marBottom w:val="0"/>
          <w:divBdr>
            <w:top w:val="none" w:sz="0" w:space="0" w:color="auto"/>
            <w:left w:val="none" w:sz="0" w:space="0" w:color="auto"/>
            <w:bottom w:val="none" w:sz="0" w:space="0" w:color="auto"/>
            <w:right w:val="none" w:sz="0" w:space="0" w:color="auto"/>
          </w:divBdr>
        </w:div>
      </w:divsChild>
    </w:div>
    <w:div w:id="1449394840">
      <w:bodyDiv w:val="1"/>
      <w:marLeft w:val="0"/>
      <w:marRight w:val="0"/>
      <w:marTop w:val="0"/>
      <w:marBottom w:val="0"/>
      <w:divBdr>
        <w:top w:val="none" w:sz="0" w:space="0" w:color="auto"/>
        <w:left w:val="none" w:sz="0" w:space="0" w:color="auto"/>
        <w:bottom w:val="none" w:sz="0" w:space="0" w:color="auto"/>
        <w:right w:val="none" w:sz="0" w:space="0" w:color="auto"/>
      </w:divBdr>
      <w:divsChild>
        <w:div w:id="242762659">
          <w:marLeft w:val="0"/>
          <w:marRight w:val="0"/>
          <w:marTop w:val="0"/>
          <w:marBottom w:val="0"/>
          <w:divBdr>
            <w:top w:val="none" w:sz="0" w:space="0" w:color="auto"/>
            <w:left w:val="none" w:sz="0" w:space="0" w:color="auto"/>
            <w:bottom w:val="none" w:sz="0" w:space="0" w:color="auto"/>
            <w:right w:val="none" w:sz="0" w:space="0" w:color="auto"/>
          </w:divBdr>
        </w:div>
      </w:divsChild>
    </w:div>
    <w:div w:id="1462385293">
      <w:bodyDiv w:val="1"/>
      <w:marLeft w:val="0"/>
      <w:marRight w:val="0"/>
      <w:marTop w:val="0"/>
      <w:marBottom w:val="0"/>
      <w:divBdr>
        <w:top w:val="none" w:sz="0" w:space="0" w:color="auto"/>
        <w:left w:val="none" w:sz="0" w:space="0" w:color="auto"/>
        <w:bottom w:val="none" w:sz="0" w:space="0" w:color="auto"/>
        <w:right w:val="none" w:sz="0" w:space="0" w:color="auto"/>
      </w:divBdr>
      <w:divsChild>
        <w:div w:id="53942056">
          <w:marLeft w:val="0"/>
          <w:marRight w:val="0"/>
          <w:marTop w:val="0"/>
          <w:marBottom w:val="0"/>
          <w:divBdr>
            <w:top w:val="none" w:sz="0" w:space="0" w:color="auto"/>
            <w:left w:val="none" w:sz="0" w:space="0" w:color="auto"/>
            <w:bottom w:val="none" w:sz="0" w:space="0" w:color="auto"/>
            <w:right w:val="none" w:sz="0" w:space="0" w:color="auto"/>
          </w:divBdr>
        </w:div>
      </w:divsChild>
    </w:div>
    <w:div w:id="1638682132">
      <w:bodyDiv w:val="1"/>
      <w:marLeft w:val="0"/>
      <w:marRight w:val="0"/>
      <w:marTop w:val="0"/>
      <w:marBottom w:val="0"/>
      <w:divBdr>
        <w:top w:val="none" w:sz="0" w:space="0" w:color="auto"/>
        <w:left w:val="none" w:sz="0" w:space="0" w:color="auto"/>
        <w:bottom w:val="none" w:sz="0" w:space="0" w:color="auto"/>
        <w:right w:val="none" w:sz="0" w:space="0" w:color="auto"/>
      </w:divBdr>
      <w:divsChild>
        <w:div w:id="1946382239">
          <w:marLeft w:val="0"/>
          <w:marRight w:val="0"/>
          <w:marTop w:val="0"/>
          <w:marBottom w:val="0"/>
          <w:divBdr>
            <w:top w:val="none" w:sz="0" w:space="0" w:color="auto"/>
            <w:left w:val="none" w:sz="0" w:space="0" w:color="auto"/>
            <w:bottom w:val="none" w:sz="0" w:space="0" w:color="auto"/>
            <w:right w:val="none" w:sz="0" w:space="0" w:color="auto"/>
          </w:divBdr>
        </w:div>
      </w:divsChild>
    </w:div>
    <w:div w:id="1999722676">
      <w:bodyDiv w:val="1"/>
      <w:marLeft w:val="0"/>
      <w:marRight w:val="0"/>
      <w:marTop w:val="0"/>
      <w:marBottom w:val="0"/>
      <w:divBdr>
        <w:top w:val="none" w:sz="0" w:space="0" w:color="auto"/>
        <w:left w:val="none" w:sz="0" w:space="0" w:color="auto"/>
        <w:bottom w:val="none" w:sz="0" w:space="0" w:color="auto"/>
        <w:right w:val="none" w:sz="0" w:space="0" w:color="auto"/>
      </w:divBdr>
      <w:divsChild>
        <w:div w:id="2019383939">
          <w:marLeft w:val="0"/>
          <w:marRight w:val="0"/>
          <w:marTop w:val="0"/>
          <w:marBottom w:val="0"/>
          <w:divBdr>
            <w:top w:val="none" w:sz="0" w:space="0" w:color="auto"/>
            <w:left w:val="none" w:sz="0" w:space="0" w:color="auto"/>
            <w:bottom w:val="none" w:sz="0" w:space="0" w:color="auto"/>
            <w:right w:val="none" w:sz="0" w:space="0" w:color="auto"/>
          </w:divBdr>
        </w:div>
      </w:divsChild>
    </w:div>
    <w:div w:id="2026203318">
      <w:bodyDiv w:val="1"/>
      <w:marLeft w:val="0"/>
      <w:marRight w:val="0"/>
      <w:marTop w:val="0"/>
      <w:marBottom w:val="0"/>
      <w:divBdr>
        <w:top w:val="none" w:sz="0" w:space="0" w:color="auto"/>
        <w:left w:val="none" w:sz="0" w:space="0" w:color="auto"/>
        <w:bottom w:val="none" w:sz="0" w:space="0" w:color="auto"/>
        <w:right w:val="none" w:sz="0" w:space="0" w:color="auto"/>
      </w:divBdr>
      <w:divsChild>
        <w:div w:id="9744849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ournals.sagepub.com/doi/full/10.1177/20416695221095884" TargetMode="External"/><Relationship Id="rId18" Type="http://schemas.openxmlformats.org/officeDocument/2006/relationships/hyperlink" Target="https://doi.org/10.3758/BF03193146"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tiff"/><Relationship Id="rId17" Type="http://schemas.openxmlformats.org/officeDocument/2006/relationships/image" Target="media/image5.tiff"/><Relationship Id="rId2" Type="http://schemas.openxmlformats.org/officeDocument/2006/relationships/customXml" Target="../customXml/item2.xml"/><Relationship Id="rId16" Type="http://schemas.openxmlformats.org/officeDocument/2006/relationships/image" Target="media/image4.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acegen.com/" TargetMode="External"/><Relationship Id="rId5" Type="http://schemas.openxmlformats.org/officeDocument/2006/relationships/numbering" Target="numbering.xml"/><Relationship Id="rId15" Type="http://schemas.openxmlformats.org/officeDocument/2006/relationships/image" Target="media/image3.tiff"/><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95B571315C70134693A164DBABDF4AF3" ma:contentTypeVersion="17" ma:contentTypeDescription="Create a new document." ma:contentTypeScope="" ma:versionID="399f5ee681e01ad40fd0321537bbe2c9">
  <xsd:schema xmlns:xsd="http://www.w3.org/2001/XMLSchema" xmlns:xs="http://www.w3.org/2001/XMLSchema" xmlns:p="http://schemas.microsoft.com/office/2006/metadata/properties" xmlns:ns2="02adff9a-d020-4030-870a-fe1c8817879b" xmlns:ns3="485ff4a7-c7ed-45bb-8c8d-cea6e7af63b2" targetNamespace="http://schemas.microsoft.com/office/2006/metadata/properties" ma:root="true" ma:fieldsID="17ff127d53be79d1e0a925747a9e4c90" ns2:_="" ns3:_="">
    <xsd:import namespace="02adff9a-d020-4030-870a-fe1c8817879b"/>
    <xsd:import namespace="485ff4a7-c7ed-45bb-8c8d-cea6e7af63b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dff9a-d020-4030-870a-fe1c881787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69ac232-9de1-4ef7-a8d1-4fd88dbef106}" ma:internalName="TaxCatchAll" ma:showField="CatchAllData" ma:web="02adff9a-d020-4030-870a-fe1c881787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5ff4a7-c7ed-45bb-8c8d-cea6e7af63b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59d0b0-ad97-40f6-866f-9f1be2d4c8f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2adff9a-d020-4030-870a-fe1c8817879b" xsi:nil="true"/>
    <lcf76f155ced4ddcb4097134ff3c332f xmlns="485ff4a7-c7ed-45bb-8c8d-cea6e7af63b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12247A-DED3-405F-A3D9-8260D78462D1}">
  <ds:schemaRefs>
    <ds:schemaRef ds:uri="http://schemas.openxmlformats.org/officeDocument/2006/bibliography"/>
  </ds:schemaRefs>
</ds:datastoreItem>
</file>

<file path=customXml/itemProps2.xml><?xml version="1.0" encoding="utf-8"?>
<ds:datastoreItem xmlns:ds="http://schemas.openxmlformats.org/officeDocument/2006/customXml" ds:itemID="{1F7D5E09-920E-46A3-A517-6D71C174C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dff9a-d020-4030-870a-fe1c8817879b"/>
    <ds:schemaRef ds:uri="485ff4a7-c7ed-45bb-8c8d-cea6e7af63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B89D56-1D64-46A5-A05C-AA41B53ECC17}">
  <ds:schemaRefs>
    <ds:schemaRef ds:uri="http://schemas.microsoft.com/office/2006/metadata/properties"/>
    <ds:schemaRef ds:uri="http://schemas.microsoft.com/office/infopath/2007/PartnerControls"/>
    <ds:schemaRef ds:uri="02adff9a-d020-4030-870a-fe1c8817879b"/>
    <ds:schemaRef ds:uri="485ff4a7-c7ed-45bb-8c8d-cea6e7af63b2"/>
  </ds:schemaRefs>
</ds:datastoreItem>
</file>

<file path=customXml/itemProps4.xml><?xml version="1.0" encoding="utf-8"?>
<ds:datastoreItem xmlns:ds="http://schemas.openxmlformats.org/officeDocument/2006/customXml" ds:itemID="{BCE0A9C5-1C5B-4405-9F45-D7E57597AF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8401</TotalTime>
  <Pages>6</Pages>
  <Words>4044</Words>
  <Characters>23055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Pre Test Excerpt</vt:lpstr>
    </vt:vector>
  </TitlesOfParts>
  <Company>University of California, Berkeley</Company>
  <LinksUpToDate>false</LinksUpToDate>
  <CharactersWithSpaces>27045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 Test Excerpt</dc:title>
  <dc:subject/>
  <dc:creator>Microsoft Office User</dc:creator>
  <cp:keywords/>
  <dc:description/>
  <cp:lastModifiedBy>Kaloyan Zdravkov</cp:lastModifiedBy>
  <cp:revision>2</cp:revision>
  <cp:lastPrinted>2024-05-09T20:49:00Z</cp:lastPrinted>
  <dcterms:created xsi:type="dcterms:W3CDTF">2025-06-17T13:35:00Z</dcterms:created>
  <dcterms:modified xsi:type="dcterms:W3CDTF">2025-06-28T22:59:00Z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0x01010095B571315C70134693A164DBABDF4AF3</vt:lpwstr>
  </property>
  <property fmtid="{D5CDD505-2E9C-101B-9397-08002B2CF9AE}" pid="3" name="ZOTERO_PREF_1">
    <vt:lpwstr>&lt;data data-version="3" zotero-version="7.0.7"&gt;&lt;session id="wIjYTUqG"/&gt;&lt;style id="http://www.zotero.org/styles/ieee"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