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92C" w:rsidRPr="00B129A2" w:rsidRDefault="00DF15B7" w:rsidP="007A502C">
      <w:pPr>
        <w:pStyle w:val="Titledocument"/>
        <w:rPr>
          <w:highlight w:val="darkCyan"/>
          <w14:ligatures w14:val="standard"/>
        </w:rPr>
      </w:pPr>
      <w:r w:rsidRPr="00B129A2">
        <w:rPr>
          <w:bCs/>
          <w:highlight w:val="darkCyan"/>
          <w14:ligatures w14:val="standard"/>
        </w:rPr>
        <w:t>Gaze cu</w:t>
      </w:r>
      <w:r w:rsidR="00240D20" w:rsidRPr="00B129A2">
        <w:rPr>
          <w:bCs/>
          <w:highlight w:val="darkCyan"/>
          <w14:ligatures w14:val="standard"/>
        </w:rPr>
        <w:t>e</w:t>
      </w:r>
      <w:r w:rsidRPr="00B129A2">
        <w:rPr>
          <w:bCs/>
          <w:highlight w:val="darkCyan"/>
          <w14:ligatures w14:val="standard"/>
        </w:rPr>
        <w:t>ing and sense of agency</w:t>
      </w:r>
      <w:r w:rsidR="0089066F" w:rsidRPr="00B129A2">
        <w:rPr>
          <w:bCs/>
          <w:highlight w:val="darkCyan"/>
          <w:vertAlign w:val="superscript"/>
          <w14:ligatures w14:val="standard"/>
        </w:rPr>
        <w:t>∗</w:t>
      </w:r>
    </w:p>
    <w:p w:rsidR="0007392C" w:rsidRPr="00586A35" w:rsidRDefault="00DF15B7" w:rsidP="007A502C">
      <w:pPr>
        <w:pStyle w:val="Subtitle"/>
        <w:rPr>
          <w14:ligatures w14:val="standard"/>
        </w:rPr>
      </w:pPr>
      <w:r w:rsidRPr="00B129A2">
        <w:rPr>
          <w:bCs/>
          <w:highlight w:val="darkCyan"/>
          <w14:ligatures w14:val="standard"/>
        </w:rPr>
        <w:t>Can we influence gaze</w:t>
      </w:r>
    </w:p>
    <w:p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rsidR="00B129A2" w:rsidRPr="00586A35" w:rsidRDefault="00B129A2" w:rsidP="00B129A2">
      <w:pPr>
        <w:pStyle w:val="Authors"/>
        <w:jc w:val="center"/>
        <w:rPr>
          <w14:ligatures w14:val="standard"/>
        </w:rPr>
      </w:pPr>
      <w:r>
        <w:rPr>
          <w:rStyle w:val="FirstName"/>
          <w14:ligatures w14:val="standard"/>
        </w:rPr>
        <w:t>Rozalina</w:t>
      </w:r>
      <w:r w:rsidRPr="00586A35">
        <w:rPr>
          <w14:ligatures w14:val="standard"/>
        </w:rPr>
        <w:t xml:space="preserve"> </w:t>
      </w:r>
      <w:r>
        <w:rPr>
          <w:rStyle w:val="Surname"/>
          <w14:ligatures w14:val="standard"/>
        </w:rPr>
        <w:t>Petkova</w:t>
      </w:r>
      <w:r w:rsidRPr="00586A35">
        <w:rPr>
          <w:vertAlign w:val="superscript"/>
          <w14:ligatures w14:val="standard"/>
        </w:rPr>
        <w:t>†</w:t>
      </w:r>
      <w:r w:rsidRPr="00586A35">
        <w:rPr>
          <w14:ligatures w14:val="standard"/>
        </w:rPr>
        <w:br/>
      </w:r>
      <w:r w:rsidRPr="00586A35">
        <w:rPr>
          <w:rStyle w:val="OrgDiv"/>
          <w:color w:val="auto"/>
          <w:sz w:val="20"/>
          <w14:ligatures w14:val="standard"/>
        </w:rPr>
        <w:t xml:space="preserve"> Department Name</w:t>
      </w:r>
      <w:r w:rsidRPr="00586A35">
        <w:rPr>
          <w:rStyle w:val="OrgName"/>
          <w:color w:val="auto"/>
          <w:sz w:val="20"/>
          <w14:ligatures w14:val="standard"/>
        </w:rPr>
        <w:br/>
        <w:t xml:space="preserve"> Institution/University Name</w:t>
      </w:r>
      <w:r w:rsidRPr="00586A35">
        <w:rPr>
          <w:rStyle w:val="OrgName"/>
          <w:color w:val="auto"/>
          <w:sz w:val="20"/>
          <w14:ligatures w14:val="standard"/>
        </w:rPr>
        <w:br/>
        <w:t xml:space="preserve"> </w:t>
      </w:r>
      <w:r w:rsidRPr="00586A35">
        <w:rPr>
          <w:rStyle w:val="City"/>
          <w:sz w:val="20"/>
          <w14:ligatures w14:val="standard"/>
        </w:rPr>
        <w:t>City</w:t>
      </w:r>
      <w:r w:rsidRPr="00586A35">
        <w:rPr>
          <w:sz w:val="20"/>
          <w14:ligatures w14:val="standard"/>
        </w:rPr>
        <w:t xml:space="preserve"> </w:t>
      </w:r>
      <w:r w:rsidRPr="00586A35">
        <w:rPr>
          <w:rStyle w:val="State"/>
          <w:color w:val="auto"/>
          <w:sz w:val="20"/>
          <w14:ligatures w14:val="standard"/>
        </w:rPr>
        <w:t>State</w:t>
      </w:r>
      <w:r w:rsidRPr="00586A35">
        <w:rPr>
          <w:rStyle w:val="PinCode"/>
          <w:color w:val="auto"/>
          <w:sz w:val="20"/>
          <w14:ligatures w14:val="standard"/>
        </w:rPr>
        <w:t xml:space="preserve"> </w:t>
      </w:r>
      <w:r w:rsidRPr="00586A35">
        <w:rPr>
          <w:rStyle w:val="Country"/>
          <w:sz w:val="20"/>
          <w14:ligatures w14:val="standard"/>
        </w:rPr>
        <w:t>Country</w:t>
      </w:r>
      <w:r w:rsidRPr="00586A35">
        <w:rPr>
          <w:sz w:val="20"/>
          <w14:ligatures w14:val="standard"/>
        </w:rPr>
        <w:br/>
        <w:t xml:space="preserve"> </w:t>
      </w:r>
      <w:r>
        <w:rPr>
          <w:rStyle w:val="Email"/>
          <w:color w:val="auto"/>
          <w:sz w:val="20"/>
          <w14:ligatures w14:val="standard"/>
        </w:rPr>
        <w:t>rozi.krasimirova@gmail.com</w:t>
      </w:r>
    </w:p>
    <w:p w:rsidR="00B129A2" w:rsidRPr="00586A35" w:rsidRDefault="00B129A2" w:rsidP="00B129A2">
      <w:pPr>
        <w:pStyle w:val="Authors"/>
        <w:jc w:val="center"/>
        <w:rPr>
          <w14:ligatures w14:val="standard"/>
        </w:rPr>
      </w:pPr>
      <w:r>
        <w:rPr>
          <w:rStyle w:val="FirstName"/>
          <w14:ligatures w14:val="standard"/>
        </w:rPr>
        <w:t xml:space="preserve"> </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 xml:space="preserve"> </w:t>
      </w:r>
      <w:r w:rsidRPr="00586A35">
        <w:rPr>
          <w:rStyle w:val="OrgName"/>
          <w:color w:val="auto"/>
          <w:sz w:val="20"/>
          <w14:ligatures w14:val="standard"/>
        </w:rPr>
        <w:br/>
        <w:t xml:space="preserve"> </w:t>
      </w:r>
      <w:r>
        <w:rPr>
          <w:rStyle w:val="OrgName"/>
          <w:color w:val="auto"/>
          <w:sz w:val="20"/>
          <w14:ligatures w14:val="standard"/>
        </w:rPr>
        <w:t xml:space="preserve"> </w:t>
      </w:r>
      <w:r w:rsidRPr="00586A35">
        <w:rPr>
          <w:rStyle w:val="OrgName"/>
          <w:color w:val="auto"/>
          <w:sz w:val="20"/>
          <w14:ligatures w14:val="standard"/>
        </w:rPr>
        <w:br/>
        <w:t xml:space="preserve"> </w:t>
      </w:r>
      <w:r>
        <w:rPr>
          <w:rStyle w:val="City"/>
          <w:sz w:val="20"/>
          <w14:ligatures w14:val="standard"/>
        </w:rPr>
        <w:t xml:space="preserve"> </w:t>
      </w:r>
      <w:r w:rsidRPr="00586A35">
        <w:rPr>
          <w:sz w:val="20"/>
          <w14:ligatures w14:val="standard"/>
        </w:rPr>
        <w:br/>
        <w:t xml:space="preserve"> </w:t>
      </w:r>
      <w:hyperlink r:id="rId13" w:history="1"/>
      <w:r>
        <w:t xml:space="preserve"> </w:t>
      </w:r>
    </w:p>
    <w:p w:rsidR="00586A35" w:rsidRPr="00B129A2" w:rsidRDefault="00B129A2" w:rsidP="00B129A2">
      <w:pPr>
        <w:pStyle w:val="Authors"/>
        <w:jc w:val="center"/>
        <w:rPr>
          <w14:ligatures w14:val="standard"/>
        </w:rPr>
        <w:sectPr w:rsidR="00586A35" w:rsidRPr="00B129A2"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r>
        <w:rPr>
          <w:rStyle w:val="FirstName"/>
          <w14:ligatures w14:val="standard"/>
        </w:rPr>
        <w:t>Armine</w:t>
      </w:r>
      <w:r w:rsidRPr="00586A35">
        <w:rPr>
          <w14:ligatures w14:val="standard"/>
        </w:rPr>
        <w:t xml:space="preserve"> </w:t>
      </w:r>
      <w:r>
        <w:rPr>
          <w:rStyle w:val="Surname"/>
          <w14:ligatures w14:val="standard"/>
        </w:rPr>
        <w:t>Janyan</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Cognitive science and psychology</w:t>
      </w:r>
      <w:r w:rsidRPr="00586A35">
        <w:rPr>
          <w:rStyle w:val="OrgName"/>
          <w:color w:val="auto"/>
          <w:sz w:val="20"/>
          <w14:ligatures w14:val="standard"/>
        </w:rPr>
        <w:br/>
        <w:t xml:space="preserve"> </w:t>
      </w:r>
      <w:r>
        <w:rPr>
          <w:rStyle w:val="OrgName"/>
          <w:color w:val="auto"/>
          <w:sz w:val="20"/>
          <w14:ligatures w14:val="standard"/>
        </w:rPr>
        <w:t>New Bulgarian University</w:t>
      </w:r>
      <w:r w:rsidRPr="00586A35">
        <w:rPr>
          <w:rStyle w:val="OrgName"/>
          <w:color w:val="auto"/>
          <w:sz w:val="20"/>
          <w14:ligatures w14:val="standard"/>
        </w:rPr>
        <w:br/>
        <w:t xml:space="preserve"> </w:t>
      </w:r>
      <w:r w:rsidRPr="00586A35">
        <w:rPr>
          <w:rStyle w:val="City"/>
          <w:sz w:val="20"/>
          <w14:ligatures w14:val="standard"/>
        </w:rPr>
        <w:t>City</w:t>
      </w:r>
      <w:r w:rsidRPr="00586A35">
        <w:rPr>
          <w:sz w:val="20"/>
          <w14:ligatures w14:val="standard"/>
        </w:rPr>
        <w:t xml:space="preserve"> </w:t>
      </w:r>
      <w:r w:rsidRPr="00586A35">
        <w:rPr>
          <w:rStyle w:val="State"/>
          <w:color w:val="auto"/>
          <w:sz w:val="20"/>
          <w14:ligatures w14:val="standard"/>
        </w:rPr>
        <w:t>State</w:t>
      </w:r>
      <w:r w:rsidRPr="00586A35">
        <w:rPr>
          <w:rStyle w:val="PinCode"/>
          <w:color w:val="auto"/>
          <w:sz w:val="20"/>
          <w14:ligatures w14:val="standard"/>
        </w:rPr>
        <w:t xml:space="preserve"> </w:t>
      </w:r>
      <w:r w:rsidRPr="00586A35">
        <w:rPr>
          <w:rStyle w:val="Country"/>
          <w:sz w:val="20"/>
          <w14:ligatures w14:val="standard"/>
        </w:rPr>
        <w:t>Country</w:t>
      </w:r>
      <w:r w:rsidRPr="00586A35">
        <w:rPr>
          <w:sz w:val="20"/>
          <w14:ligatures w14:val="standard"/>
        </w:rPr>
        <w:br/>
        <w:t xml:space="preserve"> </w:t>
      </w:r>
      <w:r w:rsidRPr="00586A35">
        <w:rPr>
          <w:rStyle w:val="Email"/>
          <w:color w:val="auto"/>
          <w:sz w:val="20"/>
          <w14:ligatures w14:val="standard"/>
        </w:rPr>
        <w:t>email@email.com</w:t>
      </w:r>
    </w:p>
    <w:p w:rsidR="00694749" w:rsidRPr="00586A35" w:rsidRDefault="00694749" w:rsidP="00694749">
      <w:pPr>
        <w:pStyle w:val="AuthNotes"/>
        <w:rPr>
          <w:color w:val="auto"/>
          <w14:ligatures w14:val="standard"/>
        </w:rPr>
      </w:pPr>
    </w:p>
    <w:p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rsidR="0007392C" w:rsidRPr="00586A35" w:rsidRDefault="007A502C" w:rsidP="00694749">
      <w:pPr>
        <w:pStyle w:val="AbsHead"/>
        <w:rPr>
          <w14:ligatures w14:val="standard"/>
        </w:rPr>
      </w:pPr>
      <w:r w:rsidRPr="00586A35">
        <w:rPr>
          <w14:ligatures w14:val="standard"/>
        </w:rPr>
        <w:t>ABSTRACT</w:t>
      </w:r>
    </w:p>
    <w:p w:rsidR="00DF15B7" w:rsidRDefault="00DF15B7" w:rsidP="00B4052C">
      <w:pPr>
        <w:pStyle w:val="FootnoteText"/>
        <w:framePr w:w="4680" w:h="1441" w:hRule="exact" w:hSpace="187" w:wrap="around" w:vAnchor="page" w:hAnchor="page" w:x="1089" w:y="12601" w:anchorLock="1"/>
        <w:rPr>
          <w:rFonts w:eastAsia="Verdana"/>
          <w:sz w:val="18"/>
          <w14:ligatures w14:val="standard"/>
        </w:rPr>
      </w:pPr>
      <w:r w:rsidRPr="00DF15B7">
        <w:rPr>
          <w:rFonts w:eastAsia="Verdana"/>
          <w:sz w:val="18"/>
          <w14:ligatures w14:val="standard"/>
        </w:rPr>
        <w: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t>
      </w:r>
      <w:r>
        <w:rPr>
          <w:rFonts w:eastAsia="Verdana"/>
          <w:sz w:val="18"/>
          <w14:ligatures w14:val="standard"/>
        </w:rPr>
        <w:t xml:space="preserve"> violations </w:t>
      </w:r>
      <w:r w:rsidRPr="00DF15B7">
        <w:rPr>
          <w:rFonts w:eastAsia="Verdana"/>
          <w:sz w:val="18"/>
          <w14:ligatures w14:val="standard"/>
        </w:rPr>
        <w:t xml:space="preserve">or confirmations of expected outcomes influence predictive mechanisms that shape the sense of agency and modulate gaze cueing responses. This created a 3 (action–gaze relationship) × 2 (gaze–target congruency) design. Results revealed that </w:t>
      </w:r>
      <w:r w:rsidRPr="00F36726">
        <w:rPr>
          <w:rFonts w:eastAsia="Verdana"/>
          <w:sz w:val="18"/>
          <w:highlight w:val="yellow"/>
          <w14:ligatures w14:val="standard"/>
        </w:rPr>
        <w:t>..........................</w:t>
      </w:r>
      <w:r w:rsidRPr="00DF15B7">
        <w:rPr>
          <w:rFonts w:eastAsia="Verdana"/>
          <w:sz w:val="18"/>
          <w14:ligatures w14:val="standard"/>
        </w:rPr>
        <w:t xml:space="preserve"> These findings suggest </w:t>
      </w:r>
      <w:r w:rsidRPr="00F36726">
        <w:rPr>
          <w:rFonts w:eastAsia="Verdana"/>
          <w:sz w:val="18"/>
          <w:highlight w:val="yellow"/>
          <w14:ligatures w14:val="standard"/>
        </w:rPr>
        <w:t>...........................................</w:t>
      </w:r>
      <w:r w:rsidRPr="00DF15B7">
        <w:rPr>
          <w:rFonts w:eastAsia="Verdana"/>
          <w:sz w:val="18"/>
          <w14:ligatures w14:val="standard"/>
        </w:rPr>
        <w:t xml:space="preserve"> </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Article Title Footnote needs to be captured as Title Note</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Author Footnote to be captured as Author Note</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rsidR="00B4052C" w:rsidRPr="00F36726" w:rsidRDefault="00B4052C" w:rsidP="00B4052C">
      <w:pPr>
        <w:pStyle w:val="VersoLRH"/>
        <w:framePr w:w="4680" w:h="1441" w:hRule="exact" w:hSpace="187" w:wrap="around" w:vAnchor="page" w:hAnchor="page" w:x="1089" w:y="12601" w:anchorLock="1"/>
        <w:rPr>
          <w:i/>
          <w:highlight w:val="yellow"/>
        </w:rPr>
      </w:pPr>
      <w:r w:rsidRPr="00F36726">
        <w:rPr>
          <w:i/>
          <w:highlight w:val="yellow"/>
        </w:rPr>
        <w:t>WOODSTOCK’18, June, 2018, El Paso, Texas USA</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 2018 Copyright held by the owner/author(s). 978-1-4503-0000-0/18/06...$15.00</w:t>
      </w:r>
    </w:p>
    <w:p w:rsidR="00B4052C" w:rsidRPr="00F36726" w:rsidRDefault="00B4052C" w:rsidP="00B4052C">
      <w:pPr>
        <w:framePr w:w="4680" w:h="1441" w:hRule="exact" w:hSpace="187" w:wrap="around" w:vAnchor="page" w:hAnchor="page" w:x="1089" w:y="12601" w:anchorLock="1"/>
        <w:rPr>
          <w:iCs/>
          <w:highlight w:val="yellow"/>
          <w14:ligatures w14:val="standard"/>
        </w:rPr>
      </w:pPr>
      <w:r w:rsidRPr="00F36726">
        <w:rPr>
          <w:highlight w:val="yellow"/>
        </w:rPr>
        <w:t>https://doi.org/10.1145/1234567890</w:t>
      </w:r>
    </w:p>
    <w:p w:rsidR="004023EC" w:rsidRPr="004023EC" w:rsidRDefault="004023EC" w:rsidP="007A502C">
      <w:pPr>
        <w:pStyle w:val="Abstract"/>
        <w:rPr>
          <w14:ligatures w14:val="standard"/>
        </w:rPr>
      </w:pPr>
      <w:r w:rsidRPr="004023EC">
        <w:rPr>
          <w14:ligatures w14:val="standard"/>
        </w:rPr>
        <w: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w:t>
      </w:r>
      <w:r w:rsidR="00FD2AD8">
        <w:rPr>
          <w14:ligatures w14:val="standard"/>
        </w:rPr>
        <w:t>e</w:t>
      </w:r>
      <w:r w:rsidRPr="004023EC">
        <w:rPr>
          <w14:ligatures w14:val="standard"/>
        </w:rPr>
        <w:t xml:space="preserv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w:t>
      </w:r>
      <w:r>
        <w:rPr>
          <w14:ligatures w14:val="standard"/>
        </w:rPr>
        <w:t>consistent</w:t>
      </w:r>
      <w:r w:rsidRPr="004023EC">
        <w:rPr>
          <w14:ligatures w14:val="standard"/>
        </w:rPr>
        <w:t xml:space="preserve"> or </w:t>
      </w:r>
      <w:r>
        <w:rPr>
          <w14:ligatures w14:val="standard"/>
        </w:rPr>
        <w:t>inconsistent</w:t>
      </w:r>
      <w:r w:rsidRPr="004023EC">
        <w:rPr>
          <w14:ligatures w14:val="standard"/>
        </w:rPr>
        <w:t xml:space="preserve"> with the chosen direction, allowing us to examine how</w:t>
      </w:r>
      <w:r w:rsidRPr="004023EC">
        <w:rPr>
          <w14:ligatures w14:val="standard"/>
        </w:rPr>
        <w:t xml:space="preserve"> </w:t>
      </w:r>
      <w:r w:rsidRPr="004023EC">
        <w:rPr>
          <w14:ligatures w14:val="standard"/>
        </w:rPr>
        <w:t xml:space="preserve">violations or </w:t>
      </w:r>
      <w:r>
        <w:rPr>
          <w14:ligatures w14:val="standard"/>
        </w:rPr>
        <w:t xml:space="preserve">expectations </w:t>
      </w:r>
      <w:r w:rsidRPr="004023EC">
        <w:rPr>
          <w14:ligatures w14:val="standard"/>
        </w:rPr>
        <w:t xml:space="preserve">influence predictive mechanisms that shape the sense of agency and modulate gaze cueing responses. </w:t>
      </w:r>
      <w:r w:rsidRPr="00FD2AD8">
        <w:rPr>
          <w:highlight w:val="darkCyan"/>
          <w14:ligatures w14:val="standard"/>
        </w:rPr>
        <w:t xml:space="preserve">Results revealed </w:t>
      </w:r>
      <w:r w:rsidRPr="00FD2AD8">
        <w:rPr>
          <w:highlight w:val="darkCyan"/>
          <w14:ligatures w14:val="standard"/>
        </w:rPr>
        <w:t xml:space="preserve">a </w:t>
      </w:r>
      <w:r w:rsidR="00240D20" w:rsidRPr="00FD2AD8">
        <w:rPr>
          <w:highlight w:val="darkCyan"/>
          <w14:ligatures w14:val="standard"/>
        </w:rPr>
        <w:t xml:space="preserve">significant difference </w:t>
      </w:r>
      <w:r w:rsidR="00FD2AD8" w:rsidRPr="00FD2AD8">
        <w:rPr>
          <w:highlight w:val="darkCyan"/>
          <w14:ligatures w14:val="standard"/>
        </w:rPr>
        <w:t xml:space="preserve">between the passive (control) and active (action-consistent and action-inconsistent) conditions with stronger GCE observed in the active conditions and surprisingly no GCE in the passive one. </w:t>
      </w:r>
      <w:r w:rsidRPr="00FD2AD8">
        <w:rPr>
          <w:highlight w:val="darkCyan"/>
          <w14:ligatures w14:val="standard"/>
        </w:rPr>
        <w:t xml:space="preserve">These findings </w:t>
      </w:r>
      <w:r w:rsidR="00FD2AD8" w:rsidRPr="00FD2AD8">
        <w:rPr>
          <w:highlight w:val="darkCyan"/>
          <w14:ligatures w14:val="standard"/>
        </w:rPr>
        <w:t xml:space="preserve">backup the idea of strong social and dispositional modulations of GCE and extent the </w:t>
      </w:r>
      <w:proofErr w:type="spellStart"/>
      <w:r w:rsidR="00FD2AD8" w:rsidRPr="00FD2AD8">
        <w:rPr>
          <w:highlight w:val="darkCyan"/>
          <w14:ligatures w14:val="standard"/>
        </w:rPr>
        <w:t>SoA</w:t>
      </w:r>
      <w:proofErr w:type="spellEnd"/>
      <w:r w:rsidR="00FD2AD8" w:rsidRPr="00FD2AD8">
        <w:rPr>
          <w:highlight w:val="darkCyan"/>
          <w14:ligatures w14:val="standard"/>
        </w:rPr>
        <w:t xml:space="preserve"> domain of influence beyond the realm of perception, attentional allocation and motor functioning.</w:t>
      </w:r>
      <w:r w:rsidR="00FD2AD8">
        <w:rPr>
          <w14:ligatures w14:val="standard"/>
        </w:rPr>
        <w:t xml:space="preserve"> </w:t>
      </w:r>
      <w:r w:rsidRPr="004023EC">
        <w:rPr>
          <w14:ligatures w14:val="standard"/>
        </w:rPr>
        <w:t> </w:t>
      </w:r>
    </w:p>
    <w:p w:rsidR="006F050A" w:rsidRPr="00F36726" w:rsidRDefault="00E87E12" w:rsidP="007A502C">
      <w:pPr>
        <w:pStyle w:val="Abstract"/>
        <w:rPr>
          <w:highlight w:val="yellow"/>
          <w14:ligatures w14:val="standard"/>
        </w:rPr>
      </w:pPr>
      <w:r w:rsidRPr="00F36726">
        <w:rPr>
          <w:highlight w:val="yellow"/>
          <w14:ligatures w14:val="standard"/>
        </w:rPr>
        <w:t>S</w:t>
      </w:r>
      <w:r w:rsidR="0014244B" w:rsidRPr="00F36726">
        <w:rPr>
          <w:highlight w:val="yellow"/>
          <w14:ligatures w14:val="standard"/>
        </w:rPr>
        <w:t xml:space="preserve">ome specific values are required to create a standard layout </w:t>
      </w:r>
      <w:r w:rsidR="00AB2327" w:rsidRPr="00F36726">
        <w:rPr>
          <w:highlight w:val="yellow"/>
          <w14:ligatures w14:val="standard"/>
        </w:rPr>
        <w:t>by choosing a</w:t>
      </w:r>
      <w:r w:rsidR="0014244B" w:rsidRPr="00F36726">
        <w:rPr>
          <w:highlight w:val="yellow"/>
          <w14:ligatures w14:val="standard"/>
        </w:rPr>
        <w:t xml:space="preserve"> template for the journals or proceedings. So once </w:t>
      </w:r>
      <w:r w:rsidR="00AB2327" w:rsidRPr="00F36726">
        <w:rPr>
          <w:highlight w:val="yellow"/>
          <w14:ligatures w14:val="standard"/>
        </w:rPr>
        <w:t xml:space="preserve">the </w:t>
      </w:r>
      <w:r w:rsidR="0014244B" w:rsidRPr="00F36726">
        <w:rPr>
          <w:highlight w:val="yellow"/>
          <w14:ligatures w14:val="standard"/>
        </w:rPr>
        <w:t>user choose</w:t>
      </w:r>
      <w:r w:rsidR="00AB2327" w:rsidRPr="00F36726">
        <w:rPr>
          <w:highlight w:val="yellow"/>
          <w14:ligatures w14:val="standard"/>
        </w:rPr>
        <w:t>s</w:t>
      </w:r>
      <w:r w:rsidR="0014244B" w:rsidRPr="00F36726">
        <w:rPr>
          <w:highlight w:val="yellow"/>
          <w14:ligatures w14:val="standard"/>
        </w:rPr>
        <w:t xml:space="preserve"> </w:t>
      </w:r>
      <w:r w:rsidR="000713CD" w:rsidRPr="00F36726">
        <w:rPr>
          <w:highlight w:val="yellow"/>
          <w14:ligatures w14:val="standard"/>
        </w:rPr>
        <w:t>one of the template layout style</w:t>
      </w:r>
      <w:r w:rsidR="00AB2327" w:rsidRPr="00F36726">
        <w:rPr>
          <w:highlight w:val="yellow"/>
          <w14:ligatures w14:val="standard"/>
        </w:rPr>
        <w:t>s</w:t>
      </w:r>
      <w:r w:rsidR="000713CD" w:rsidRPr="00F36726">
        <w:rPr>
          <w:highlight w:val="yellow"/>
          <w14:ligatures w14:val="standard"/>
        </w:rPr>
        <w:t>,</w:t>
      </w:r>
      <w:r w:rsidR="00DC112E" w:rsidRPr="00F36726">
        <w:rPr>
          <w:highlight w:val="yellow"/>
          <w14:ligatures w14:val="standard"/>
        </w:rPr>
        <w:t xml:space="preserve"> the respective Journal </w:t>
      </w:r>
      <w:r w:rsidR="000713CD" w:rsidRPr="00F36726">
        <w:rPr>
          <w:highlight w:val="yellow"/>
          <w14:ligatures w14:val="standard"/>
        </w:rPr>
        <w:t>or</w:t>
      </w:r>
      <w:r w:rsidR="00DC112E" w:rsidRPr="00F36726">
        <w:rPr>
          <w:highlight w:val="yellow"/>
          <w14:ligatures w14:val="standard"/>
        </w:rPr>
        <w:t xml:space="preserve"> Conference details dialog box</w:t>
      </w:r>
      <w:r w:rsidR="00127D30" w:rsidRPr="00F36726">
        <w:rPr>
          <w:highlight w:val="yellow"/>
          <w14:ligatures w14:val="standard"/>
        </w:rPr>
        <w:t xml:space="preserve"> (i.e. </w:t>
      </w:r>
      <w:r w:rsidR="00127D30" w:rsidRPr="00F36726">
        <w:rPr>
          <w:b/>
          <w:highlight w:val="yellow"/>
          <w14:ligatures w14:val="standard"/>
        </w:rPr>
        <w:t xml:space="preserve">journal/conference </w:t>
      </w:r>
      <w:r w:rsidR="000739F9" w:rsidRPr="00F36726">
        <w:rPr>
          <w:b/>
          <w:highlight w:val="yellow"/>
          <w14:ligatures w14:val="standard"/>
        </w:rPr>
        <w:t>acronym</w:t>
      </w:r>
      <w:r w:rsidR="00127D30" w:rsidRPr="00F36726">
        <w:rPr>
          <w:b/>
          <w:highlight w:val="yellow"/>
          <w14:ligatures w14:val="standard"/>
        </w:rPr>
        <w:t xml:space="preserve">, </w:t>
      </w:r>
      <w:r w:rsidR="00F74DA3" w:rsidRPr="00F36726">
        <w:rPr>
          <w:b/>
          <w:highlight w:val="yellow"/>
          <w14:ligatures w14:val="standard"/>
        </w:rPr>
        <w:t>DOI</w:t>
      </w:r>
      <w:r w:rsidR="00127D30" w:rsidRPr="00F36726">
        <w:rPr>
          <w:b/>
          <w:highlight w:val="yellow"/>
          <w14:ligatures w14:val="standard"/>
        </w:rPr>
        <w:t xml:space="preserve">, </w:t>
      </w:r>
      <w:r w:rsidR="00F74DA3" w:rsidRPr="00F36726">
        <w:rPr>
          <w:b/>
          <w:highlight w:val="yellow"/>
          <w14:ligatures w14:val="standard"/>
        </w:rPr>
        <w:t>ISBN</w:t>
      </w:r>
      <w:r w:rsidR="000713CD" w:rsidRPr="00F36726">
        <w:rPr>
          <w:b/>
          <w:highlight w:val="yellow"/>
          <w14:ligatures w14:val="standard"/>
        </w:rPr>
        <w:t>,</w:t>
      </w:r>
      <w:r w:rsidR="00127D30" w:rsidRPr="00F36726">
        <w:rPr>
          <w:b/>
          <w:highlight w:val="yellow"/>
          <w14:ligatures w14:val="standard"/>
        </w:rPr>
        <w:t xml:space="preserve"> copyright</w:t>
      </w:r>
      <w:r w:rsidR="000739F9" w:rsidRPr="00F36726">
        <w:rPr>
          <w:b/>
          <w:highlight w:val="yellow"/>
          <w14:ligatures w14:val="standard"/>
        </w:rPr>
        <w:t>,</w:t>
      </w:r>
      <w:r w:rsidR="00127D30" w:rsidRPr="00F36726">
        <w:rPr>
          <w:b/>
          <w:highlight w:val="yellow"/>
          <w14:ligatures w14:val="standard"/>
        </w:rPr>
        <w:t xml:space="preserve"> </w:t>
      </w:r>
      <w:r w:rsidR="000739F9" w:rsidRPr="00F36726">
        <w:rPr>
          <w:b/>
          <w:highlight w:val="yellow"/>
          <w14:ligatures w14:val="standard"/>
        </w:rPr>
        <w:t>year</w:t>
      </w:r>
      <w:r w:rsidR="00F74DA3" w:rsidRPr="00F36726">
        <w:rPr>
          <w:b/>
          <w:highlight w:val="yellow"/>
          <w14:ligatures w14:val="standard"/>
        </w:rPr>
        <w:t>,</w:t>
      </w:r>
      <w:r w:rsidR="000739F9" w:rsidRPr="00F36726">
        <w:rPr>
          <w:b/>
          <w:highlight w:val="yellow"/>
          <w14:ligatures w14:val="standard"/>
        </w:rPr>
        <w:t xml:space="preserve"> </w:t>
      </w:r>
      <w:r w:rsidR="00127D30" w:rsidRPr="00F36726">
        <w:rPr>
          <w:b/>
          <w:highlight w:val="yellow"/>
          <w14:ligatures w14:val="standard"/>
        </w:rPr>
        <w:t>etc.</w:t>
      </w:r>
      <w:r w:rsidR="00127D30" w:rsidRPr="00F36726">
        <w:rPr>
          <w:highlight w:val="yellow"/>
          <w14:ligatures w14:val="standard"/>
        </w:rPr>
        <w:t>)</w:t>
      </w:r>
      <w:r w:rsidR="006F050A" w:rsidRPr="00F36726">
        <w:rPr>
          <w:highlight w:val="yellow"/>
          <w14:ligatures w14:val="standard"/>
        </w:rPr>
        <w:t xml:space="preserve"> </w:t>
      </w:r>
      <w:r w:rsidR="00AB2327" w:rsidRPr="00F36726">
        <w:rPr>
          <w:highlight w:val="yellow"/>
          <w14:ligatures w14:val="standard"/>
        </w:rPr>
        <w:t>will appear as a</w:t>
      </w:r>
      <w:r w:rsidR="006F050A" w:rsidRPr="00F36726">
        <w:rPr>
          <w:highlight w:val="yellow"/>
          <w14:ligatures w14:val="standard"/>
        </w:rPr>
        <w:t xml:space="preserve"> prompt during </w:t>
      </w:r>
      <w:r w:rsidR="00C41AE1" w:rsidRPr="00F36726">
        <w:rPr>
          <w:highlight w:val="yellow"/>
          <w14:ligatures w14:val="standard"/>
        </w:rPr>
        <w:t xml:space="preserve">the </w:t>
      </w:r>
      <w:r w:rsidR="006F050A" w:rsidRPr="00F36726">
        <w:rPr>
          <w:highlight w:val="yellow"/>
          <w14:ligatures w14:val="standard"/>
        </w:rPr>
        <w:t xml:space="preserve">Define </w:t>
      </w:r>
      <w:r w:rsidR="00C41AE1" w:rsidRPr="00F36726">
        <w:rPr>
          <w:highlight w:val="yellow"/>
          <w14:ligatures w14:val="standard"/>
        </w:rPr>
        <w:t>Template Style</w:t>
      </w:r>
      <w:r w:rsidR="006F050A" w:rsidRPr="00F36726">
        <w:rPr>
          <w:highlight w:val="yellow"/>
          <w14:ligatures w14:val="standard"/>
        </w:rPr>
        <w:t xml:space="preserve"> functionality</w:t>
      </w:r>
      <w:r w:rsidR="00DC112E" w:rsidRPr="00F36726">
        <w:rPr>
          <w:highlight w:val="yellow"/>
          <w14:ligatures w14:val="standard"/>
        </w:rPr>
        <w:t xml:space="preserve">. </w:t>
      </w:r>
      <w:r w:rsidR="000713CD" w:rsidRPr="00F36726">
        <w:rPr>
          <w:highlight w:val="yellow"/>
          <w14:ligatures w14:val="standard"/>
        </w:rPr>
        <w:t>The user should fill these values</w:t>
      </w:r>
      <w:r w:rsidR="00321DDC" w:rsidRPr="00F36726">
        <w:rPr>
          <w:highlight w:val="yellow"/>
          <w14:ligatures w14:val="standard"/>
        </w:rPr>
        <w:t>,</w:t>
      </w:r>
      <w:r w:rsidR="000713CD" w:rsidRPr="00F36726">
        <w:rPr>
          <w:highlight w:val="yellow"/>
          <w14:ligatures w14:val="standard"/>
        </w:rPr>
        <w:t xml:space="preserve"> </w:t>
      </w:r>
      <w:r w:rsidR="00321DDC" w:rsidRPr="00F36726">
        <w:rPr>
          <w:highlight w:val="yellow"/>
          <w14:ligatures w14:val="standard"/>
        </w:rPr>
        <w:t>after</w:t>
      </w:r>
      <w:r w:rsidR="000713CD" w:rsidRPr="00F36726">
        <w:rPr>
          <w:highlight w:val="yellow"/>
          <w14:ligatures w14:val="standard"/>
        </w:rPr>
        <w:t xml:space="preserve"> </w:t>
      </w:r>
      <w:r w:rsidR="00321DDC" w:rsidRPr="00F36726">
        <w:rPr>
          <w:highlight w:val="yellow"/>
          <w14:ligatures w14:val="standard"/>
        </w:rPr>
        <w:t>which the</w:t>
      </w:r>
      <w:r w:rsidR="000713CD" w:rsidRPr="00F36726">
        <w:rPr>
          <w:highlight w:val="yellow"/>
          <w14:ligatures w14:val="standard"/>
        </w:rPr>
        <w:t xml:space="preserve"> template creates </w:t>
      </w:r>
      <w:r w:rsidR="00321DDC" w:rsidRPr="00F36726">
        <w:rPr>
          <w:highlight w:val="yellow"/>
          <w14:ligatures w14:val="standard"/>
        </w:rPr>
        <w:t>the</w:t>
      </w:r>
      <w:r w:rsidR="000713CD" w:rsidRPr="00F36726">
        <w:rPr>
          <w:highlight w:val="yellow"/>
          <w14:ligatures w14:val="standard"/>
        </w:rPr>
        <w:t xml:space="preserve"> desired layout of the paper. </w:t>
      </w:r>
      <w:r w:rsidR="00321DDC" w:rsidRPr="00F36726">
        <w:rPr>
          <w:highlight w:val="yellow"/>
          <w14:ligatures w14:val="standard"/>
        </w:rPr>
        <w:t>The u</w:t>
      </w:r>
      <w:r w:rsidR="00127D30" w:rsidRPr="00F36726">
        <w:rPr>
          <w:highlight w:val="yellow"/>
          <w14:ligatures w14:val="standard"/>
        </w:rPr>
        <w:t>ser can now</w:t>
      </w:r>
      <w:r w:rsidR="00DC112E" w:rsidRPr="00F36726">
        <w:rPr>
          <w:highlight w:val="yellow"/>
          <w14:ligatures w14:val="standard"/>
        </w:rPr>
        <w:t xml:space="preserve"> create </w:t>
      </w:r>
      <w:r w:rsidR="00321DDC" w:rsidRPr="00F36726">
        <w:rPr>
          <w:highlight w:val="yellow"/>
          <w14:ligatures w14:val="standard"/>
        </w:rPr>
        <w:t xml:space="preserve">a </w:t>
      </w:r>
      <w:r w:rsidR="00DC112E" w:rsidRPr="00F36726">
        <w:rPr>
          <w:highlight w:val="yellow"/>
          <w14:ligatures w14:val="standard"/>
        </w:rPr>
        <w:t xml:space="preserve">PDF of </w:t>
      </w:r>
      <w:r w:rsidR="00127D30" w:rsidRPr="00F36726">
        <w:rPr>
          <w:highlight w:val="yellow"/>
          <w14:ligatures w14:val="standard"/>
        </w:rPr>
        <w:t>his/her</w:t>
      </w:r>
      <w:r w:rsidR="00DC112E" w:rsidRPr="00F36726">
        <w:rPr>
          <w:highlight w:val="yellow"/>
          <w14:ligatures w14:val="standard"/>
        </w:rPr>
        <w:t xml:space="preserve"> manuscript using </w:t>
      </w:r>
      <w:r w:rsidR="00321DDC" w:rsidRPr="00F36726">
        <w:rPr>
          <w:highlight w:val="yellow"/>
          <w14:ligatures w14:val="standard"/>
        </w:rPr>
        <w:t xml:space="preserve">the </w:t>
      </w:r>
      <w:r w:rsidR="00DC112E" w:rsidRPr="00F36726">
        <w:rPr>
          <w:highlight w:val="yellow"/>
          <w14:ligatures w14:val="standard"/>
        </w:rPr>
        <w:t>“</w:t>
      </w:r>
      <w:r w:rsidR="00DC112E" w:rsidRPr="00F36726">
        <w:rPr>
          <w:i/>
          <w:highlight w:val="yellow"/>
          <w14:ligatures w14:val="standard"/>
        </w:rPr>
        <w:t>Save as PDF</w:t>
      </w:r>
      <w:r w:rsidR="00DC112E" w:rsidRPr="00F36726">
        <w:rPr>
          <w:highlight w:val="yellow"/>
          <w14:ligatures w14:val="standard"/>
        </w:rPr>
        <w:t>” option.</w:t>
      </w:r>
    </w:p>
    <w:p w:rsidR="00F30418" w:rsidRPr="00586A35" w:rsidRDefault="00DC112E" w:rsidP="007A502C">
      <w:pPr>
        <w:pStyle w:val="Abstract"/>
        <w:rPr>
          <w:lang w:val="en-GB" w:eastAsia="ja-JP"/>
          <w14:ligatures w14:val="standard"/>
        </w:rPr>
      </w:pPr>
      <w:r w:rsidRPr="00F36726">
        <w:rPr>
          <w:rFonts w:eastAsia="Verdana"/>
          <w:highlight w:val="yellow"/>
          <w14:ligatures w14:val="standard"/>
        </w:rPr>
        <w:t>If</w:t>
      </w:r>
      <w:r w:rsidRPr="00F36726">
        <w:rPr>
          <w:highlight w:val="yellow"/>
          <w14:ligatures w14:val="standard"/>
        </w:rPr>
        <w:t xml:space="preserve"> </w:t>
      </w:r>
      <w:r w:rsidR="00052A1A" w:rsidRPr="00F36726">
        <w:rPr>
          <w:highlight w:val="yellow"/>
          <w14:ligatures w14:val="standard"/>
        </w:rPr>
        <w:t xml:space="preserve">the </w:t>
      </w:r>
      <w:r w:rsidR="00127D30" w:rsidRPr="00F36726">
        <w:rPr>
          <w:highlight w:val="yellow"/>
          <w14:ligatures w14:val="standard"/>
        </w:rPr>
        <w:t>user</w:t>
      </w:r>
      <w:r w:rsidRPr="00F36726">
        <w:rPr>
          <w:highlight w:val="yellow"/>
          <w14:ligatures w14:val="standard"/>
        </w:rPr>
        <w:t xml:space="preserve"> </w:t>
      </w:r>
      <w:r w:rsidR="00127D30" w:rsidRPr="00F36726">
        <w:rPr>
          <w:highlight w:val="yellow"/>
          <w14:ligatures w14:val="standard"/>
        </w:rPr>
        <w:t>is</w:t>
      </w:r>
      <w:r w:rsidRPr="00F36726">
        <w:rPr>
          <w:highlight w:val="yellow"/>
          <w14:ligatures w14:val="standard"/>
        </w:rPr>
        <w:t xml:space="preserve"> adding any new data, </w:t>
      </w:r>
      <w:r w:rsidR="00C4538D" w:rsidRPr="00F36726">
        <w:rPr>
          <w:highlight w:val="yellow"/>
          <w14:ligatures w14:val="standard"/>
        </w:rPr>
        <w:t>they should</w:t>
      </w:r>
      <w:r w:rsidRPr="00F36726">
        <w:rPr>
          <w:highlight w:val="yellow"/>
          <w14:ligatures w14:val="standard"/>
        </w:rPr>
        <w:t xml:space="preserve"> make sure to style </w:t>
      </w:r>
      <w:r w:rsidRPr="00F36726">
        <w:rPr>
          <w:highlight w:val="yellow"/>
          <w14:ligatures w14:val="standard"/>
        </w:rPr>
        <w:t xml:space="preserve">it as per the instructions provided in previous sections. Carry out the steps for Cross-linking, </w:t>
      </w:r>
      <w:proofErr w:type="spellStart"/>
      <w:r w:rsidRPr="00F36726">
        <w:rPr>
          <w:highlight w:val="yellow"/>
          <w14:ligatures w14:val="standard"/>
        </w:rPr>
        <w:t>Fundref</w:t>
      </w:r>
      <w:proofErr w:type="spellEnd"/>
      <w:r w:rsidRPr="00F36726">
        <w:rPr>
          <w:highlight w:val="yellow"/>
          <w14:ligatures w14:val="standard"/>
        </w:rPr>
        <w:t xml:space="preserve"> data, adding Document History (specific to</w:t>
      </w:r>
      <w:r w:rsidR="00C4538D" w:rsidRPr="00F36726">
        <w:rPr>
          <w:highlight w:val="yellow"/>
          <w14:ligatures w14:val="standard"/>
        </w:rPr>
        <w:t xml:space="preserve"> jour</w:t>
      </w:r>
      <w:r w:rsidRPr="00F36726">
        <w:rPr>
          <w:highlight w:val="yellow"/>
          <w14:ligatures w14:val="standard"/>
        </w:rPr>
        <w:t>nal submission)</w:t>
      </w:r>
      <w:r w:rsidR="00C4538D" w:rsidRPr="00F36726">
        <w:rPr>
          <w:highlight w:val="yellow"/>
          <w14:ligatures w14:val="standard"/>
        </w:rPr>
        <w:t>,</w:t>
      </w:r>
      <w:r w:rsidRPr="00F36726">
        <w:rPr>
          <w:highlight w:val="yellow"/>
          <w14:ligatures w14:val="standard"/>
        </w:rPr>
        <w:t xml:space="preserve"> and finally</w:t>
      </w:r>
      <w:r w:rsidR="00C4538D" w:rsidRPr="00F36726">
        <w:rPr>
          <w:highlight w:val="yellow"/>
          <w14:ligatures w14:val="standard"/>
        </w:rPr>
        <w:t>,</w:t>
      </w:r>
      <w:r w:rsidRPr="00F36726">
        <w:rPr>
          <w:highlight w:val="yellow"/>
          <w14:ligatures w14:val="standard"/>
        </w:rPr>
        <w:t xml:space="preserve"> Manuscript validation and placing the respective metadata (</w:t>
      </w:r>
      <w:proofErr w:type="spellStart"/>
      <w:r w:rsidRPr="00F36726">
        <w:rPr>
          <w:highlight w:val="yellow"/>
          <w14:ligatures w14:val="standard"/>
        </w:rPr>
        <w:t>Bibstrip</w:t>
      </w:r>
      <w:proofErr w:type="spellEnd"/>
      <w:r w:rsidRPr="00F36726">
        <w:rPr>
          <w:highlight w:val="yellow"/>
          <w14:ligatures w14:val="standard"/>
        </w:rPr>
        <w:t>/copyright text)</w:t>
      </w:r>
      <w:r w:rsidRPr="00F36726">
        <w:rPr>
          <w:rStyle w:val="FootnoteReference"/>
          <w:highlight w:val="yellow"/>
          <w14:ligatures w14:val="standard"/>
        </w:rPr>
        <w:footnoteReference w:id="2"/>
      </w:r>
      <w:r w:rsidRPr="00F36726">
        <w:rPr>
          <w:highlight w:val="yellow"/>
          <w14:ligatures w14:val="standard"/>
        </w:rPr>
        <w:t xml:space="preserve"> while applying the required template.</w:t>
      </w:r>
    </w:p>
    <w:p w:rsidR="0007392C" w:rsidRPr="00586A35" w:rsidRDefault="00675128" w:rsidP="00675128">
      <w:pPr>
        <w:pStyle w:val="CCSHead"/>
        <w:rPr>
          <w:lang w:eastAsia="it-IT"/>
          <w14:ligatures w14:val="standard"/>
        </w:rPr>
      </w:pPr>
      <w:r w:rsidRPr="00586A35">
        <w:rPr>
          <w:lang w:eastAsia="it-IT"/>
          <w14:ligatures w14:val="standard"/>
        </w:rPr>
        <w:t>CCS CONCEPTS</w:t>
      </w:r>
    </w:p>
    <w:p w:rsidR="007D3C28" w:rsidRPr="00586A35" w:rsidRDefault="003C3338" w:rsidP="00675128">
      <w:pPr>
        <w:pStyle w:val="CCSDescription"/>
        <w:rPr>
          <w:rFonts w:cs="Linux Libertine"/>
          <w14:ligatures w14:val="standard"/>
        </w:rPr>
      </w:pPr>
      <w:r w:rsidRPr="00586A35">
        <w:rPr>
          <w14:ligatures w14:val="standard"/>
        </w:rPr>
        <w:t>• </w:t>
      </w:r>
      <w:r w:rsidR="00B46551" w:rsidRPr="00F36726">
        <w:rPr>
          <w:highlight w:val="yellow"/>
          <w:lang w:eastAsia="it-IT"/>
          <w14:ligatures w14:val="standard"/>
        </w:rPr>
        <w:t>Insert CCS text</w:t>
      </w:r>
      <w:r w:rsidRPr="00F36726">
        <w:rPr>
          <w:highlight w:val="yellow"/>
          <w14:ligatures w14:val="standard"/>
        </w:rPr>
        <w:t> </w:t>
      </w:r>
      <w:r w:rsidR="00B46551" w:rsidRPr="00F36726">
        <w:rPr>
          <w:highlight w:val="yellow"/>
          <w14:ligatures w14:val="standard"/>
        </w:rPr>
        <w:t>here</w:t>
      </w:r>
      <w:r w:rsidRPr="00F36726">
        <w:rPr>
          <w:highlight w:val="yellow"/>
          <w14:ligatures w14:val="standard"/>
        </w:rPr>
        <w:t xml:space="preserve"> • </w:t>
      </w:r>
      <w:r w:rsidR="00B46551" w:rsidRPr="00F36726">
        <w:rPr>
          <w:highlight w:val="yellow"/>
          <w:lang w:eastAsia="it-IT"/>
          <w14:ligatures w14:val="standard"/>
        </w:rPr>
        <w:t>Insert CCS text</w:t>
      </w:r>
      <w:r w:rsidR="00B46551" w:rsidRPr="00F36726">
        <w:rPr>
          <w:highlight w:val="yellow"/>
          <w14:ligatures w14:val="standard"/>
        </w:rPr>
        <w:t> here</w:t>
      </w:r>
      <w:r w:rsidRPr="00F36726">
        <w:rPr>
          <w:highlight w:val="yellow"/>
          <w14:ligatures w14:val="standard"/>
        </w:rPr>
        <w:t>   • </w:t>
      </w:r>
      <w:r w:rsidR="00B46551" w:rsidRPr="00F36726">
        <w:rPr>
          <w:highlight w:val="yellow"/>
          <w:lang w:eastAsia="it-IT"/>
          <w14:ligatures w14:val="standard"/>
        </w:rPr>
        <w:t>Insert CCS text</w:t>
      </w:r>
      <w:r w:rsidR="00B46551" w:rsidRPr="00F36726">
        <w:rPr>
          <w:highlight w:val="yellow"/>
          <w14:ligatures w14:val="standard"/>
        </w:rPr>
        <w:t> here</w:t>
      </w:r>
    </w:p>
    <w:p w:rsidR="0007392C" w:rsidRPr="00586A35" w:rsidRDefault="00675128" w:rsidP="00675128">
      <w:pPr>
        <w:pStyle w:val="KeyWordHead"/>
        <w:rPr>
          <w:lang w:eastAsia="it-IT"/>
          <w14:ligatures w14:val="standard"/>
        </w:rPr>
      </w:pPr>
      <w:r w:rsidRPr="00586A35">
        <w:rPr>
          <w:lang w:eastAsia="it-IT"/>
          <w14:ligatures w14:val="standard"/>
        </w:rPr>
        <w:t>KEYWORDS</w:t>
      </w:r>
    </w:p>
    <w:p w:rsidR="0007392C" w:rsidRPr="00586A35" w:rsidRDefault="00DF15B7" w:rsidP="00675128">
      <w:pPr>
        <w:pStyle w:val="KeyWords"/>
        <w:rPr>
          <w:lang w:eastAsia="it-IT"/>
          <w14:ligatures w14:val="standard"/>
        </w:rPr>
      </w:pPr>
      <w:r w:rsidRPr="004023EC">
        <w:rPr>
          <w:highlight w:val="darkCyan"/>
          <w:lang w:eastAsia="it-IT"/>
          <w14:ligatures w14:val="standard"/>
        </w:rPr>
        <w:t>Gaze cuing, Sence of agency, social cognition</w:t>
      </w:r>
    </w:p>
    <w:p w:rsidR="00586A35" w:rsidRPr="00586A35" w:rsidRDefault="00586A35" w:rsidP="00586A35">
      <w:pPr>
        <w:pStyle w:val="RefFormatHead"/>
        <w:rPr>
          <w14:ligatures w14:val="standard"/>
        </w:rPr>
      </w:pPr>
      <w:r w:rsidRPr="00586A35">
        <w:rPr>
          <w14:ligatures w14:val="standard"/>
        </w:rPr>
        <w:t>ACM Reference format:</w:t>
      </w:r>
    </w:p>
    <w:p w:rsidR="00672ABE" w:rsidRDefault="00DF15B7" w:rsidP="00586A35">
      <w:pPr>
        <w:pStyle w:val="RefFormatPara"/>
        <w:rPr>
          <w14:ligatures w14:val="standard"/>
        </w:rPr>
      </w:pPr>
      <w:r>
        <w:rPr>
          <w14:ligatures w14:val="standard"/>
        </w:rPr>
        <w:t>Rozalina</w:t>
      </w:r>
      <w:r w:rsidR="00586A35" w:rsidRPr="00586A35">
        <w:rPr>
          <w14:ligatures w14:val="standard"/>
        </w:rPr>
        <w:t xml:space="preserve"> </w:t>
      </w:r>
      <w:r>
        <w:rPr>
          <w14:ligatures w14:val="standard"/>
        </w:rPr>
        <w:t>Petkova and</w:t>
      </w:r>
      <w:r w:rsidR="00586A35" w:rsidRPr="00586A35">
        <w:rPr>
          <w14:ligatures w14:val="standard"/>
        </w:rPr>
        <w:t xml:space="preserve"> </w:t>
      </w:r>
      <w:r>
        <w:rPr>
          <w14:ligatures w14:val="standard"/>
        </w:rPr>
        <w:t>Armine</w:t>
      </w:r>
      <w:r w:rsidR="00586A35" w:rsidRPr="00586A35">
        <w:rPr>
          <w14:ligatures w14:val="standard"/>
        </w:rPr>
        <w:t xml:space="preserve"> </w:t>
      </w:r>
      <w:r>
        <w:rPr>
          <w14:ligatures w14:val="standard"/>
        </w:rPr>
        <w:t>Janyan</w:t>
      </w:r>
      <w:r w:rsidR="00586A35" w:rsidRPr="00586A35">
        <w:rPr>
          <w14:ligatures w14:val="standard"/>
        </w:rPr>
        <w:t xml:space="preserve">. </w:t>
      </w:r>
      <w:r>
        <w:rPr>
          <w14:ligatures w14:val="standard"/>
        </w:rPr>
        <w:t>2025</w:t>
      </w:r>
      <w:r w:rsidR="00586A35" w:rsidRPr="00586A35">
        <w:rPr>
          <w14:ligatures w14:val="standard"/>
        </w:rPr>
        <w:t xml:space="preserve">. </w:t>
      </w:r>
      <w:r w:rsidRPr="00B129A2">
        <w:rPr>
          <w:bCs/>
          <w:highlight w:val="darkCyan"/>
          <w14:ligatures w14:val="standard"/>
        </w:rPr>
        <w:t>Gaze cuing and sense of agency</w:t>
      </w:r>
      <w:r w:rsidR="00586A35" w:rsidRPr="00B129A2">
        <w:rPr>
          <w:bCs/>
          <w:highlight w:val="darkCyan"/>
          <w14:ligatures w14:val="standard"/>
        </w:rPr>
        <w:t xml:space="preserve">: </w:t>
      </w:r>
      <w:r w:rsidRPr="00B129A2">
        <w:rPr>
          <w:bCs/>
          <w:highlight w:val="darkCyan"/>
          <w14:ligatures w14:val="standard"/>
        </w:rPr>
        <w:t>Can we influence gaze</w:t>
      </w:r>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ACM Woodstock conference (WOODSTOCK’18). ACM, New York, NY, USA, </w:t>
      </w:r>
      <w:r w:rsidR="00C14A4F" w:rsidRPr="00F36726">
        <w:rPr>
          <w:bCs/>
          <w:i/>
          <w:highlight w:val="yellow"/>
          <w14:ligatures w14:val="standard"/>
        </w:rPr>
        <w:t>2</w:t>
      </w:r>
      <w:r w:rsidR="00586A35" w:rsidRPr="00F36726">
        <w:rPr>
          <w:bCs/>
          <w:i/>
          <w:highlight w:val="yellow"/>
          <w14:ligatures w14:val="standard"/>
        </w:rPr>
        <w:t xml:space="preserve"> pages.</w:t>
      </w:r>
      <w:r w:rsidR="00586A35" w:rsidRPr="00F36726">
        <w:rPr>
          <w:highlight w:val="yellow"/>
          <w14:ligatures w14:val="standard"/>
        </w:rPr>
        <w:t xml:space="preserve"> </w:t>
      </w:r>
      <w:hyperlink r:id="rId14" w:history="1">
        <w:r w:rsidR="00672ABE" w:rsidRPr="00F36726">
          <w:rPr>
            <w:rStyle w:val="Hyperlink"/>
            <w:highlight w:val="yellow"/>
            <w14:ligatures w14:val="standard"/>
          </w:rPr>
          <w:t>https://doi.org/10.1145/1234567890</w:t>
        </w:r>
      </w:hyperlink>
    </w:p>
    <w:p w:rsidR="00672ABE" w:rsidRPr="00586A35" w:rsidRDefault="00672ABE" w:rsidP="00672ABE">
      <w:pPr>
        <w:pStyle w:val="Head1"/>
      </w:pPr>
      <w:r w:rsidRPr="00672ABE">
        <w:t>Literature Review</w:t>
      </w:r>
    </w:p>
    <w:p w:rsidR="0007392C" w:rsidRPr="00586A35" w:rsidRDefault="00672ABE" w:rsidP="00672ABE">
      <w:pPr>
        <w:pStyle w:val="Head2"/>
      </w:pPr>
      <w:r w:rsidRPr="00672ABE">
        <w:t>Gaze Cueing and Attentional Orienting</w:t>
      </w:r>
    </w:p>
    <w:p w:rsidR="00672ABE" w:rsidRPr="00672ABE" w:rsidRDefault="00672ABE" w:rsidP="00524B92">
      <w:pPr>
        <w:pStyle w:val="ParaContinue"/>
        <w:rPr>
          <w:lang w:eastAsia="it-IT"/>
        </w:rPr>
      </w:pPr>
      <w:r w:rsidRPr="00672ABE">
        <w:rPr>
          <w:lang w:eastAsia="it-IT"/>
        </w:rPr>
        <w:t>Our environment is crowded with objects that often require further scrutiny, and attending to goal-relevant features of the environment is essential for effective functioning. However, attention is a finite resource and must be selectively deployed</w:t>
      </w:r>
      <w:r w:rsidR="0049162A">
        <w:rPr>
          <w:lang w:eastAsia="it-IT"/>
        </w:rPr>
        <w:t xml:space="preserve"> </w:t>
      </w:r>
      <w:r w:rsidR="0049162A">
        <w:rPr>
          <w:lang w:eastAsia="it-IT"/>
        </w:rPr>
        <w:fldChar w:fldCharType="begin"/>
      </w:r>
      <w:r w:rsidR="001B5057">
        <w:rPr>
          <w:lang w:eastAsia="it-IT"/>
        </w:rPr>
        <w:instrText xml:space="preserve"> ADDIN ZOTERO_ITEM CSL_CITATION {"citationID":"Ze9ycKzv","properties":{"formattedCitation":"[1]","plainCitation":"[1]","noteIndex":0},"citationItems":[{"id":212,"uris":["http://zotero.org/users/15023090/items/5MV47VWH"],"itemData":{"id":212,"type":"article-journal","container-title":"Trends in Cognitive Sciences","DOI":"10.1016/j.tics.2004.12.004","ISSN":"13646613","issue":"2","journalAbbreviation":"Trends in Cognitive Sciences","language":"en","license":"https://www.elsevier.com/tdm/userlicense/1.0/","page":"75-82","source":"DOI.org (Crossref)","title":"Distracted and confused?: Selective attention under load","title-short":"Distracted and confused?","URL":"https://linkinghub.elsevier.com/retrieve/pii/S136466130400316X","volume":"9","author":[{"family":"Lavie","given":"Nilli"}],"accessed":{"date-parts":[["2025",6,28]]},"issued":{"date-parts":[["2005",2]]}}}],"schema":"https://github.com/citation-style-language/schema/raw/master/csl-citation.json"} </w:instrText>
      </w:r>
      <w:r w:rsidR="0049162A">
        <w:rPr>
          <w:lang w:eastAsia="it-IT"/>
        </w:rPr>
        <w:fldChar w:fldCharType="separate"/>
      </w:r>
      <w:r w:rsidR="001B5057" w:rsidRPr="001B5057">
        <w:rPr>
          <w:rFonts w:cs="Linux Libertine"/>
        </w:rPr>
        <w:t>[1]</w:t>
      </w:r>
      <w:r w:rsidR="0049162A">
        <w:rPr>
          <w:lang w:eastAsia="it-IT"/>
        </w:rPr>
        <w:fldChar w:fldCharType="end"/>
      </w:r>
      <w:r w:rsidR="0049162A">
        <w:rPr>
          <w:lang w:eastAsia="it-IT"/>
        </w:rPr>
        <w:t xml:space="preserve">. </w:t>
      </w:r>
      <w:r w:rsidRPr="00672ABE">
        <w:rPr>
          <w:lang w:eastAsia="it-IT"/>
        </w:rPr>
        <w:t>Consequently, people use various directional cues to focus their attention on important events and objects in the world. As highly social creatures, humans rely strongly on social cues like gaze direction, head orientation, or pointing gestures.</w:t>
      </w:r>
    </w:p>
    <w:p w:rsidR="00672ABE" w:rsidRPr="00672ABE" w:rsidRDefault="00672ABE" w:rsidP="00524B92">
      <w:pPr>
        <w:pStyle w:val="ParaContinue"/>
        <w:rPr>
          <w:lang w:eastAsia="it-IT"/>
        </w:rPr>
      </w:pPr>
      <w:r w:rsidRPr="00672ABE">
        <w:rPr>
          <w:lang w:eastAsia="it-IT"/>
        </w:rPr>
        <w:t>Reported at the end of the 20th century, Gaze cueing (GC) refers to the human tendency to shift attention in the direction of another person’s gaze</w:t>
      </w:r>
      <w:r w:rsidR="0049162A">
        <w:rPr>
          <w:lang w:eastAsia="it-IT"/>
        </w:rPr>
        <w:t xml:space="preserve"> </w:t>
      </w:r>
      <w:r w:rsidR="0049162A">
        <w:rPr>
          <w:lang w:eastAsia="it-IT"/>
        </w:rPr>
        <w:fldChar w:fldCharType="begin"/>
      </w:r>
      <w:r w:rsidR="001B5057">
        <w:rPr>
          <w:lang w:eastAsia="it-IT"/>
        </w:rPr>
        <w:instrText xml:space="preserve"> ADDIN ZOTERO_ITEM CSL_CITATION {"citationID":"QY53fsu7","properties":{"formattedCitation":"[2],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9162A">
        <w:rPr>
          <w:lang w:eastAsia="it-IT"/>
        </w:rPr>
        <w:fldChar w:fldCharType="separate"/>
      </w:r>
      <w:r w:rsidR="001B5057" w:rsidRPr="001B5057">
        <w:rPr>
          <w:rFonts w:cs="Linux Libertine"/>
        </w:rPr>
        <w:t>[2], [3], [4], [5]</w:t>
      </w:r>
      <w:r w:rsidR="0049162A">
        <w:rPr>
          <w:lang w:eastAsia="it-IT"/>
        </w:rPr>
        <w:fldChar w:fldCharType="end"/>
      </w:r>
      <w:r w:rsidRPr="00421601">
        <w:rPr>
          <w:lang w:eastAsia="it-IT"/>
        </w:rPr>
        <w:t xml:space="preserve">. </w:t>
      </w:r>
      <w:r w:rsidRPr="00672ABE">
        <w:rPr>
          <w:lang w:eastAsia="it-IT"/>
        </w:rPr>
        <w:t>It serves as a fundamental social cue, allowing individuals to infer the attentional focus of others and thereby engage in joint attention—a core component of human social interaction</w:t>
      </w:r>
      <w:r w:rsidR="00421601">
        <w:rPr>
          <w:lang w:eastAsia="it-IT"/>
        </w:rPr>
        <w:t xml:space="preserve"> </w:t>
      </w:r>
      <w:r w:rsidR="00421601">
        <w:rPr>
          <w:lang w:eastAsia="it-IT"/>
        </w:rPr>
        <w:fldChar w:fldCharType="begin"/>
      </w:r>
      <w:r w:rsidR="001B5057">
        <w:rPr>
          <w:lang w:eastAsia="it-IT"/>
        </w:rPr>
        <w:instrText xml:space="preserve"> ADDIN ZOTERO_ITEM CSL_CITATION {"citationID":"LFSiRR8y","properties":{"formattedCitation":"[6],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xml:space="preserve">. As such, GC plays a central role in non-verbal and embodied communication, and is considered one of the foundational mechanisms supporting the </w:t>
      </w:r>
      <w:r w:rsidRPr="00672ABE">
        <w:rPr>
          <w:lang w:eastAsia="it-IT"/>
        </w:rPr>
        <w:lastRenderedPageBreak/>
        <w:t>development of theory of mind and the capacity to navigate complex social environments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{"citationID":"Gk4t6lrz","properties":{"formattedCitation":"[6],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Originally considered a reflexive mechanism</w:t>
      </w:r>
      <w:r w:rsidR="00421601">
        <w:rPr>
          <w:lang w:eastAsia="it-IT"/>
        </w:rPr>
        <w:t xml:space="preserve"> </w:t>
      </w:r>
      <w:r w:rsidR="00421601">
        <w:rPr>
          <w:lang w:eastAsia="it-IT"/>
        </w:rPr>
        <w:fldChar w:fldCharType="begin"/>
      </w:r>
      <w:r w:rsidR="001B5057">
        <w:rPr>
          <w:lang w:eastAsia="it-IT"/>
        </w:rPr>
        <w:instrText xml:space="preserve"> ADDIN ZOTERO_ITEM CSL_CITATION {"citationID":"d1VJkwwu","properties":{"formattedCitation":"[2],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672ABE">
        <w:rPr>
          <w:lang w:eastAsia="it-IT"/>
        </w:rPr>
        <w:t>, GC has been widely used to investigate attentional orienting processes. It is most commonly studied using a variant of the Posner cueing paradigm</w:t>
      </w:r>
      <w:r w:rsidR="00421601">
        <w:rPr>
          <w:lang w:eastAsia="it-IT"/>
        </w:rPr>
        <w:t xml:space="preserve"> </w:t>
      </w:r>
      <w:r w:rsidR="00421601">
        <w:rPr>
          <w:lang w:eastAsia="it-IT"/>
        </w:rPr>
        <w:fldChar w:fldCharType="begin"/>
      </w:r>
      <w:r w:rsidR="001B5057">
        <w:rPr>
          <w:lang w:eastAsia="it-IT"/>
        </w:rPr>
        <w:instrText xml:space="preserve"> ADDIN ZOTERO_ITEM CSL_CITATION {"citationID":"RC6HVQds","properties":{"formattedCitation":"[9]","plainCitation":"[9]","noteIndex":0},"citationItems":[{"id":183,"uris":["http://zotero.org/users/15023090/items/75K3MQZA"],"itemData":{"id":183,"type":"article-journal","abstract":"Bartlett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Attention","URL":"https://journals.sagepub.com/doi/10.1080/00335558008248231","volume":"32","author":[{"family":"Posner","given":"Michael I."}],"accessed":{"date-parts":[["2025",6,28]]},"issued":{"date-parts":[["1980",2]]}}}],"schema":"https://github.com/citation-style-language/schema/raw/master/csl-citation.json"} </w:instrText>
      </w:r>
      <w:r w:rsidR="00421601">
        <w:rPr>
          <w:lang w:eastAsia="it-IT"/>
        </w:rPr>
        <w:fldChar w:fldCharType="separate"/>
      </w:r>
      <w:r w:rsidR="001B5057" w:rsidRPr="001B5057">
        <w:rPr>
          <w:rFonts w:cs="Linux Libertine"/>
        </w:rPr>
        <w:t>[9]</w:t>
      </w:r>
      <w:r w:rsidR="00421601">
        <w:rPr>
          <w:lang w:eastAsia="it-IT"/>
        </w:rPr>
        <w:fldChar w:fldCharType="end"/>
      </w:r>
      <w:r w:rsidRPr="00672ABE">
        <w:rPr>
          <w:lang w:eastAsia="it-IT"/>
        </w:rPr>
        <w:t>, a classic attentional task in which a centrally presented cue (e.g., an arrow or a flash) precedes a target, and responses are typically faster when the cue validly predicts the target’s location.</w:t>
      </w:r>
    </w:p>
    <w:p w:rsidR="00672ABE" w:rsidRPr="00672ABE" w:rsidRDefault="00672ABE" w:rsidP="00524B92">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rPr>
          <w:lang w:eastAsia="it-IT"/>
        </w:rPr>
        <w:t xml:space="preserve"> </w:t>
      </w:r>
      <w:r w:rsidR="00421601">
        <w:rPr>
          <w:lang w:eastAsia="it-IT"/>
        </w:rPr>
        <w:fldChar w:fldCharType="begin"/>
      </w:r>
      <w:r w:rsidR="001B5057">
        <w:rPr>
          <w:lang w:eastAsia="it-IT"/>
        </w:rPr>
        <w:instrText xml:space="preserve"> ADDIN ZOTERO_ITEM CSL_CITATION {"citationID":"WIeLegjJ","properties":{"formattedCitation":"[2],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421601">
        <w:rPr>
          <w:lang w:eastAsia="it-IT"/>
        </w:rPr>
        <w:t xml:space="preserve">. </w:t>
      </w:r>
      <w:r w:rsidRPr="00672ABE">
        <w:rPr>
          <w:lang w:eastAsia="it-IT"/>
        </w:rPr>
        <w:t>Later support for those findings come also from eye-tracking studies that show that gaze-congruent targets elicit faster saccadic movements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{"citationID":"kIFD7FYR","properties":{"formattedCitation":"[10], [11]","plainCitation":"[10], [11]","noteIndex":0},"citationItems":[{"id":184,"uris":["http://zotero.org/users/15023090/items/5U85266J"],"itemData":{"id":184,"type":"article-journal","container-title":"Visual Cognition","DOI":"10.1080/713756671","ISSN":"1350-6285, 1464-0716","issue":"1","journalAbbreviation":"Visual Cognition","language":"en","page":"7-14","source":"DOI.org (Crossref)","title":"Does gaze perception facilitate overt orienting?","URL":"https://www.tandfonline.com/doi/full/10.1080/713756671","volume":"10","author":[{"family":"Mansfield","given":"Eileen"},{"family":"Farroni","given":"Teresa"},{"family":"Johnson","given":"Mark"}],"accessed":{"date-parts":[["2025",6,28]]},"issued":{"date-parts":[["2003",1]]}}},{"id":185,"uris":["http://zotero.org/users/15023090/items/I9VSJB75"],"itemData":{"id":185,"type":"article-journal","container-title":"PLOS ONE","DOI":"10.1371/journal.pone.0212450","ISSN":"1932-6203","issue":"3","journalAbbreviation":"PLoS ONE","language":"en","page":"e0212450","source":"DOI.org (Crossref)","title":"Rapid saccadic response with fearful gaze cue","URL":"https://dx.plos.org/10.1371/journal.pone.0212450","volume":"14","author":[{"family":"Matsunaka","given":"Reiko"},{"family":"Hiraki","given":"Kazuo"}],"editor":[{"family":"Hadjikhani","given":"Nouchine"}],"accessed":{"date-parts":[["2025",6,28]]},"issued":{"date-parts":[["2019",3,7]]}}}],"schema":"https://github.com/citation-style-language/schema/raw/master/csl-citation.json"} </w:instrText>
      </w:r>
      <w:r w:rsidR="00421601">
        <w:rPr>
          <w:lang w:eastAsia="it-IT"/>
        </w:rPr>
        <w:fldChar w:fldCharType="separate"/>
      </w:r>
      <w:r w:rsidR="001B5057" w:rsidRPr="001B5057">
        <w:rPr>
          <w:rFonts w:cs="Linux Libertine"/>
        </w:rPr>
        <w:t>[10], [11]</w:t>
      </w:r>
      <w:r w:rsidR="00421601">
        <w:rPr>
          <w:lang w:eastAsia="it-IT"/>
        </w:rPr>
        <w:fldChar w:fldCharType="end"/>
      </w:r>
      <w:r w:rsidR="00421601">
        <w:rPr>
          <w:lang w:eastAsia="it-IT"/>
        </w:rPr>
        <w:t>.</w:t>
      </w:r>
    </w:p>
    <w:p w:rsidR="00672ABE" w:rsidRDefault="00672ABE" w:rsidP="00524B92">
      <w:pPr>
        <w:pStyle w:val="ParaContinue"/>
        <w:rPr>
          <w:lang w:eastAsia="it-IT"/>
        </w:rPr>
      </w:pPr>
      <w:r w:rsidRPr="00672ABE">
        <w:rPr>
          <w:lang w:eastAsia="it-IT"/>
        </w:rPr>
        <w:t xml:space="preserve">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(for a review, see </w:t>
      </w:r>
      <w:r w:rsidR="00421601">
        <w:rPr>
          <w:lang w:eastAsia="it-IT"/>
        </w:rPr>
        <w:fldChar w:fldCharType="begin"/>
      </w:r>
      <w:r w:rsidR="001B5057">
        <w:rPr>
          <w:lang w:eastAsia="it-IT"/>
        </w:rPr>
        <w:instrText xml:space="preserve"> ADDIN ZOTERO_ITEM CSL_CITATION {"citationID":"vtP6uavO","properties":{"formattedCitation":"[12]","plainCitation":"[12]","noteIndex":0},"citationItems":[{"id":96,"uris":["http://zotero.org/users/15023090/items/2RCZF2C2"],"itemData":{"id":96,"type":"article-journal","container-title":"Psychonomic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rPr>
          <w:lang w:eastAsia="it-IT"/>
        </w:rPr>
        <w:fldChar w:fldCharType="separate"/>
      </w:r>
      <w:r w:rsidR="001B5057" w:rsidRPr="001B5057">
        <w:rPr>
          <w:rFonts w:cs="Linux Libertine"/>
        </w:rPr>
        <w:t>[12]</w:t>
      </w:r>
      <w:r w:rsidR="00421601">
        <w:rPr>
          <w:lang w:eastAsia="it-IT"/>
        </w:rPr>
        <w:fldChar w:fldCharType="end"/>
      </w:r>
      <w:r w:rsidRPr="00672ABE">
        <w:rPr>
          <w:lang w:eastAsia="it-IT"/>
        </w:rPr>
        <w:t>. These findings indicate that gaze cueing is deeply intertwined with social meaning and cognitive mechanisms, highlighting its dynamic and flexible nature and setting the stage for further exploration of its modulat</w:t>
      </w:r>
      <w:r w:rsidR="00421601">
        <w:rPr>
          <w:lang w:eastAsia="it-IT"/>
        </w:rPr>
        <w:t>ory factors</w:t>
      </w:r>
      <w:r w:rsidRPr="00672ABE">
        <w:rPr>
          <w:lang w:eastAsia="it-IT"/>
        </w:rPr>
        <w:t>.</w:t>
      </w:r>
      <w:r>
        <w:rPr>
          <w:lang w:eastAsia="it-IT"/>
        </w:rPr>
        <w:t xml:space="preserve"> </w:t>
      </w:r>
    </w:p>
    <w:p w:rsidR="00672ABE" w:rsidRDefault="00672ABE" w:rsidP="00672ABE">
      <w:pPr>
        <w:pStyle w:val="Head2"/>
        <w:rPr>
          <w:rStyle w:val="Label"/>
          <w:bCs/>
          <w14:ligatures w14:val="standard"/>
        </w:rPr>
      </w:pPr>
      <w:r w:rsidRPr="00672ABE">
        <w:rPr>
          <w:rStyle w:val="Label"/>
          <w:bCs/>
          <w14:ligatures w14:val="standard"/>
        </w:rPr>
        <w:t>Modulators of Gaze Cueing</w:t>
      </w:r>
    </w:p>
    <w:p w:rsidR="00672ABE" w:rsidRPr="00672ABE" w:rsidRDefault="00672ABE" w:rsidP="00524B92">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1B5057">
        <w:instrText xml:space="preserve"> ADDIN ZOTERO_ITEM CSL_CITATION {"citationID":"1OLpbIJw","properties":{"formattedCitation":"[12]","plainCitation":"[12]","noteIndex":0},"citationItems":[{"id":96,"uris":["http://zotero.org/users/15023090/items/2RCZF2C2"],"itemData":{"id":96,"type":"article-journal","container-title":"Psychonomic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1B5057" w:rsidRPr="001B5057">
        <w:rPr>
          <w:rFonts w:cs="Linux Libertine"/>
        </w:rPr>
        <w:t>[12]</w:t>
      </w:r>
      <w:r w:rsidR="00421601">
        <w:fldChar w:fldCharType="end"/>
      </w:r>
      <w:r w:rsidRPr="00672ABE">
        <w:t>.</w:t>
      </w:r>
    </w:p>
    <w:p w:rsidR="00672ABE" w:rsidRPr="00672ABE" w:rsidRDefault="00672ABE" w:rsidP="00524B92">
      <w:pPr>
        <w:pStyle w:val="Para"/>
      </w:pPr>
      <w:r w:rsidRPr="00672ABE">
        <w:t>Physical characteristics of the cueing face include features such as facial expression, dominance, gender</w:t>
      </w:r>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421601">
        <w:fldChar w:fldCharType="begin"/>
      </w:r>
      <w:r w:rsidR="001B5057">
        <w:instrText xml:space="preserve"> ADDIN ZOTERO_ITEM CSL_CITATION {"citationID":"rb0GaabJ","properties":{"formattedCitation":"[13]","plainCitation":"[13]","noteIndex":0},"citationItems":[{"id":104,"uris":["http://zotero.org/users/15023090/items/EIS3NKCY"],"itemData":{"id":104,"type":"article-journal","abstract":"Humans tend to shift attention in response to the averted gaze of a face they are fixating, a phenomenon known as gaze cuing. In the present paper, we aimed to address whether the social status of the cuing face modulates this phenomenon. Participants were asked to look at the faces of 16 individuals and read fictive curriculum vitae associated with each of them that could describe the person as having a high or low social status. The association between each specific face and either high or low social status was counterbalanced between participants. The same faces were then used as stimuli in a gaze-cuing task. The results showed a greater gaze-cuing effect for high-status faces than for low-status faces, independently of the specific identity of the face. These findings confirm previous evidence regarding the important role of social factors in shaping social attention and show that a modulation of gaze cuing can be observed even when knowledge about social status is acquired through episodic learning.","container-title":"Biology Letters","DOI":"10.1098/rsbl.2011.0881","ISSN":"1744-9561, 1744-957X","issue":"3","journalAbbreviation":"Biol. Lett.","language":"en","page":"450-452","source":"DOI.org (Crossref)","title":"Social status gates social attention in humans","URL":"https://royalsocietypublishing.org/doi/10.1098/rsbl.2011.0881","volume":"8","author":[{"family":"Dalmaso","given":"Mario"},{"family":"Pavan","given":"Giulia"},{"family":"Castelli","given":"Luigi"},{"family":"Galfano","given":"Giovanni"}],"accessed":{"date-parts":[["2025",6,27]]},"issued":{"date-parts":[["2012",6,23]]}}}],"schema":"https://github.com/citation-style-language/schema/raw/master/csl-citation.json"} </w:instrText>
      </w:r>
      <w:r w:rsidR="00421601">
        <w:fldChar w:fldCharType="separate"/>
      </w:r>
      <w:r w:rsidR="001B5057" w:rsidRPr="001B5057">
        <w:rPr>
          <w:rFonts w:cs="Linux Libertine"/>
        </w:rPr>
        <w:t>[13]</w:t>
      </w:r>
      <w:r w:rsidR="00421601">
        <w:fldChar w:fldCharType="end"/>
      </w:r>
      <w:r w:rsidRPr="00672ABE">
        <w:t>, more dominant</w:t>
      </w:r>
      <w:r w:rsidR="00185CD9">
        <w:t xml:space="preserve"> faces</w:t>
      </w:r>
      <w:r w:rsidRPr="00672ABE">
        <w:t xml:space="preserve"> </w:t>
      </w:r>
      <w:r w:rsidR="00185CD9">
        <w:fldChar w:fldCharType="begin"/>
      </w:r>
      <w:r w:rsidR="001B5057">
        <w:instrText xml:space="preserve"> ADDIN ZOTERO_ITEM CSL_CITATION {"citationID":"T98zLx7Y","properties":{"formattedCitation":"[14], [15]","plainCitation":"[14], [15]","noteIndex":0},"citationItems":[{"id":178,"uris":["http://zotero.org/users/15023090/items/3PKVIPRJ"],"itemData":{"id":178,"type":"article-journal","abstract":"Responding appropriately to gaze cues is essential for fluent social interaction, playing a crucial role in social learning, collaboration, threat assessment and understanding others’ intentions. Previous research has shown that responses to gaze cues can be studied by investigating the gaze-cuing effect (i.e. the tendency for observers to respond more quickly to targets in locations that were cued by others’ gaze than to uncued targets). A recent study demonstrating that macaques demonstrate larger gaze-cuing effects when viewing dominant conspecifics than when viewing subordinate conspecifics suggests that cues of dominance modulate the gaze-cuing effect in at least one primate species. Here, we show a similar effect of facial cues associated with dominance on gaze cuing in human observers: at short viewing times, observers demonstrated a greater cuing effect for gaze cues from masculinized (i.e. dominant) faces than from feminized (i.e. subordinate) faces. Moreover, this effect of facial masculinity on gaze cuing decreased as viewing time was increased, suggesting that the effect is driven by involuntary responses. Our findings suggest that the mechanisms that underpin reflexive gaze cuing evolved to be sensitive to facial cues of others’ dominance, potentially because such differential gaze cuing promoted desirable outcomes from encounters with dominant individuals.","container-title":"Proceedings of the Royal Society B: Biological Sciences","DOI":"10.1098/rspb.2009.1575","ISSN":"0962-8452, 1471-2954","issue":"1681","journalAbbreviation":"Proc. R. Soc. B.","language":"en","page":"617-624","source":"DOI.org (Crossref)","title":"Facial cues of dominance modulate the short-term gaze-cuing effect in human observers","URL":"https://royalsocietypublishing.org/doi/10.1098/rspb.2009.1575","volume":"277","author":[{"family":"Jones","given":"Benedict C."},{"family":"DeBruine","given":"Lisa M."},{"family":"Main","given":"Julie C."},{"family":"Little","given":"Anthony C."},{"family":"Welling","given":"Lisa L. M."},{"family":"Feinberg","given":"David R."},{"family":"Tiddeman","given":"Bernard P."}],"accessed":{"date-parts":[["2025",6,28]]},"issued":{"date-parts":[["2010",2,22]]}}},{"id":181,"uris":["http://zotero.org/users/15023090/items/BVWM8IJN"],"itemData":{"id":181,"type":"article-journal","container-title":"PLoS ONE","DOI":"10.1371/journal.pone.0059471","ISSN":"1932-6203","issue":"4","journalAbbreviation":"PLoS ONE","language":"en","page":"e59471","source":"DOI.org (Crossref)","title":"Gender and Facial Dominance in Gaze Cuing: Emotional Context Matters in the Eyes That We Follow","title-short":"Gender and Facial Dominance in Gaze Cuing","URL":"https://dx.plos.org/10.1371/journal.pone.0059471","volume":"8","author":[{"family":"Ohlsen","given":"Garian"},{"family":"Van Zoest","given":"Wieske"},{"family":"Van Vugt","given":"Mark"}],"editor":[{"family":"Avenanti","given":"Alessio"}],"accessed":{"date-parts":[["2025",6,28]]},"issued":{"date-parts":[["2013",4,3]]}}}],"schema":"https://github.com/citation-style-language/schema/raw/master/csl-citation.json"} </w:instrText>
      </w:r>
      <w:r w:rsidR="00185CD9">
        <w:fldChar w:fldCharType="separate"/>
      </w:r>
      <w:r w:rsidR="001B5057" w:rsidRPr="001B5057">
        <w:rPr>
          <w:rFonts w:cs="Linux Libertine"/>
        </w:rPr>
        <w:t>[14], [15]</w:t>
      </w:r>
      <w:r w:rsidR="00185CD9">
        <w:fldChar w:fldCharType="end"/>
      </w:r>
      <w:r w:rsidRPr="00672ABE">
        <w:t xml:space="preserve"> or familiar faces </w:t>
      </w:r>
      <w:r w:rsidR="00185CD9">
        <w:t>that participants</w:t>
      </w:r>
      <w:r w:rsidRPr="00672ABE">
        <w:t xml:space="preserve"> have previously engaged in joint attention with </w:t>
      </w:r>
      <w:r w:rsidR="00185CD9">
        <w:fldChar w:fldCharType="begin"/>
      </w:r>
      <w:r w:rsidR="001B5057">
        <w:instrText xml:space="preserve"> ADDIN ZOTERO_ITEM CSL_CITATION {"citationID":"hnwnJxhI","properties":{"formattedCitation":"[16], [17]","plainCitation":"[16], [17]","noteIndex":0},"citationItems":[{"id":187,"uris":["http://zotero.org/users/15023090/items/N43NWE8R"],"itemData":{"id":187,"type":"article-journal","abstract":"Gaze cuing, the tendency to shift attention in the direction other individuals are looking, is hypothesized to depend on a distinct neural module. One expectation of such a module is that information processing should be encapsulated within it. Here, we tested whether familiarity, a type of social knowledge, penetrates the neural circuits governing gaze cuing. Male and female subjects viewed the face of an adult male looking left or right and then pressed a keypad to indicate the location of a target appearing randomly left or right. Responses were faster for targets congruent with gaze direction. Moreover, gaze cuing was stronger in females than males. Contrary to the modularity hypothesis, familiarity enhanced gaze cuing, but only in females. Sex differences in the effects of familiarity on gaze cuing may reflect greater adaptive significance of social information for females than males.","container-title":"Biology Letters","DOI":"10.1098/rsbl.2006.0564","ISSN":"1744-9561, 1744-957X","issue":"1","journalAbbreviation":"Biol. Lett.","language":"en","license":"https://royalsociety.org/journals/ethics-policies/data-sharing-mining/","page":"65-68","source":"DOI.org (Crossref)","title":"Familiarity accentuates gaze cuing in women but not men","URL":"https://royalsocietypublishing.org/doi/10.1098/rsbl.2006.0564","volume":"3","author":[{"family":"Deaner","given":"Robert O"},{"family":"Shepherd","given":"Stephen V"},{"family":"Platt","given":"Michael L"}],"accessed":{"date-parts":[["2025",6,28]]},"issued":{"date-parts":[["2007",2,22]]}}},{"id":143,"uris":["http://zotero.org/users/15023090/items/GP5CTLEN"],"itemData":{"id":143,"type":"article-journal","container-title":"Visual Cognition","DOI":"10.1080/13506280544000192","ISSN":"1350-6285, 1464-0716","issue":"3","journalAbbreviation":"Visual Cognition","language":"en","page":"351-364","source":"DOI.org (Crossref)","title":"Long-term gaze cueing effects: Evidence for retrieval of prior states of attention from memory","title-short":"Long-term gaze cueing effects","URL":"http://www.tandfonline.com/doi/abs/10.1080/13506280544000192","volume":"14","author":[{"family":"Frischen","given":"Alexandra"},{"family":"Tipper","given":"Steven P."}],"accessed":{"date-parts":[["2025",6,28]]},"issued":{"date-parts":[["2006",7]]}}}],"schema":"https://github.com/citation-style-language/schema/raw/master/csl-citation.json"} </w:instrText>
      </w:r>
      <w:r w:rsidR="00185CD9">
        <w:fldChar w:fldCharType="separate"/>
      </w:r>
      <w:r w:rsidR="001B5057" w:rsidRPr="001B5057">
        <w:rPr>
          <w:rFonts w:cs="Linux Libertine"/>
        </w:rPr>
        <w:t>[16], [17]</w:t>
      </w:r>
      <w:r w:rsidR="00185CD9">
        <w:fldChar w:fldCharType="end"/>
      </w:r>
      <w:r w:rsidRPr="00672ABE">
        <w:t>.</w:t>
      </w:r>
    </w:p>
    <w:p w:rsidR="00672ABE" w:rsidRPr="00672ABE" w:rsidRDefault="00672ABE" w:rsidP="00524B92">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185CD9">
        <w:fldChar w:fldCharType="begin"/>
      </w:r>
      <w:r w:rsidR="001B5057">
        <w:instrText xml:space="preserve"> ADDIN ZOTERO_ITEM CSL_CITATION {"citationID":"UYCmoNo1","properties":{"formattedCitation":"[18]","plainCitation":"[18]","noteIndex":0},"citationItems":[{"id":189,"uris":["http://zotero.org/users/15023090/items/WSGN4GIF"],"itemData":{"id":189,"type":"article-journal","container-title":"Physiology &amp; Behavior","DOI":"10.1016/j.physbeh.2005.01.002","ISSN":"00319384","issue":"3","journalAbbreviation":"Physiology &amp; Behavior","language":"en","license":"https://www.elsevier.com/tdm/userlicense/1.0/","page":"397-405","source":"DOI.org (Crossref)","title":"Effects of facial expression on shared attention mechanisms","URL":"https://linkinghub.elsevier.com/retrieve/pii/S0031938405000041","volume":"84","author":[{"family":"Hori","given":"Etsuro"},{"family":"Tazumi","given":"Toru"},{"family":"Umeno","given":"Katsumi"},{"family":"Kamachi","given":"Miyuki"},{"family":"Kobayashi","given":"Tsuneyuki"},{"family":"Ono","given":"Taketoshi"},{"family":"Nishijo","given":"Hisao"}],"accessed":{"date-parts":[["2025",6,28]]},"issued":{"date-parts":[["2005",3]]}}}],"schema":"https://github.com/citation-style-language/schema/raw/master/csl-citation.json"} </w:instrText>
      </w:r>
      <w:r w:rsidR="00185CD9">
        <w:fldChar w:fldCharType="separate"/>
      </w:r>
      <w:r w:rsidR="001B5057" w:rsidRPr="001B5057">
        <w:rPr>
          <w:rFonts w:cs="Linux Libertine"/>
        </w:rPr>
        <w:t>[18]</w:t>
      </w:r>
      <w:r w:rsidR="00185CD9">
        <w:fldChar w:fldCharType="end"/>
      </w:r>
      <w:r w:rsidRPr="00672ABE">
        <w:t xml:space="preserve">; or faces that previously smiled to the participants (only in low Autism-Spectrum Quotient individuals) </w:t>
      </w:r>
      <w:r w:rsidR="00185CD9">
        <w:fldChar w:fldCharType="begin"/>
      </w:r>
      <w:r w:rsidR="001B5057">
        <w:instrText xml:space="preserve"> ADDIN ZOTERO_ITEM CSL_CITATION {"citationID":"Vj4HoyR3","properties":{"formattedCitation":"[19]","plainCitation":"[19]","noteIndex":0},"citationItems":[{"id":190,"uris":["http://zotero.org/users/15023090/items/RG3TMBVE"],"itemData":{"id":190,"type":"article-journal","container-title":"Journal of Autism and Developmental Disorders","DOI":"10.1007/s10803-012-1510-3","ISSN":"0162-3257, 1573-3432","issue":"12","journalAbbreviation":"J Autism Dev Disord","language":"en","license":"http://www.springer.com/tdm","page":"2534-2545","source":"DOI.org (Crossref)","title":"Implicit Social Learning in Relation to Autistic-Like Traits","URL":"http://link.springer.com/10.1007/s10803-012-1510-3","volume":"42","author":[{"family":"Hudson","given":"Matthew"},{"family":"Nijboer","given":"Tanja C. W."},{"family":"Jellema","given":"Tjeerd"}],"accessed":{"date-parts":[["2025",6,28]]},"issued":{"date-parts":[["2012",12]]}}}],"schema":"https://github.com/citation-style-language/schema/raw/master/csl-citation.json"} </w:instrText>
      </w:r>
      <w:r w:rsidR="00185CD9">
        <w:fldChar w:fldCharType="separate"/>
      </w:r>
      <w:r w:rsidR="001B5057" w:rsidRPr="001B5057">
        <w:rPr>
          <w:rFonts w:cs="Linux Libertine"/>
        </w:rPr>
        <w:t>[19]</w:t>
      </w:r>
      <w:r w:rsidR="00185CD9">
        <w:fldChar w:fldCharType="end"/>
      </w:r>
      <w:r w:rsidRPr="00672ABE">
        <w:t xml:space="preserve">; Greater GCE is also shown for angry faces, but only when participants were under high cognitive load </w:t>
      </w:r>
      <w:r w:rsidR="00185CD9">
        <w:fldChar w:fldCharType="begin"/>
      </w:r>
      <w:r w:rsidR="001B5057">
        <w:instrText xml:space="preserve"> ADDIN ZOTERO_ITEM CSL_CITATION {"citationID":"QwdbcUlm","properties":{"formattedCitation":"[20]","plainCitation":"[20]","noteIndex":0},"citationItems":[{"id":191,"uris":["http://zotero.org/users/15023090/items/R9WYNLR9"],"itemData":{"id":191,"type":"article-journal","container-title":"PLOS ONE","DOI":"10.1371/journal.pone.0168111","ISSN":"1932-6203","issue":"12","journalAbbreviation":"PLoS ONE","language":"en","page":"e0168111","source":"DOI.org (Crossref)","title":"Emotion Unchained: Facial Expression Modulates Gaze Cueing under Cognitive Load","title-short":"Emotion Unchained","URL":"https://dx.plos.org/10.1371/journal.pone.0168111","volume":"11","author":[{"family":"Pecchinenda","given":"Anna"},{"family":"Petrucci","given":"Manuel"}],"editor":[{"family":"Avenanti","given":"Alessio"}],"accessed":{"date-parts":[["2025",6,28]]},"issued":{"date-parts":[["2016",12,13]]}}}],"schema":"https://github.com/citation-style-language/schema/raw/master/csl-citation.json"} </w:instrText>
      </w:r>
      <w:r w:rsidR="00185CD9">
        <w:fldChar w:fldCharType="separate"/>
      </w:r>
      <w:r w:rsidR="001B5057" w:rsidRPr="001B5057">
        <w:rPr>
          <w:rFonts w:cs="Linux Libertine"/>
        </w:rPr>
        <w:t>[20]</w:t>
      </w:r>
      <w:r w:rsidR="00185CD9">
        <w:fldChar w:fldCharType="end"/>
      </w:r>
      <w:r w:rsidRPr="00672ABE">
        <w:t xml:space="preserve">; or for happy and fearful faces after oxytocin administration </w:t>
      </w:r>
      <w:r w:rsidR="00185CD9">
        <w:fldChar w:fldCharType="begin"/>
      </w:r>
      <w:r w:rsidR="001B5057">
        <w:instrText xml:space="preserve"> ADDIN ZOTERO_ITEM CSL_CITATION {"citationID":"fOlyMMin","properties":{"formattedCitation":"[21]","plainCitation":"[21]","noteIndex":0},"citationItems":[{"id":193,"uris":["http://zotero.org/users/15023090/items/YUGE2WX5"],"itemData":{"id":193,"type":"article-journal","container-title":"Psychoneuroendocrinology","DOI":"10.1016/j.psyneuen.2013.02.018","ISSN":"03064530","issue":"9","journalAbbreviation":"Psychoneuroendocrinology","language":"en","license":"https://www.elsevier.com/tdm/userlicense/1.0/","page":"1797-1802","source":"DOI.org (Crossref)","title":"Enhanced orienting of attention in response to emotional gaze cues after oxytocin administration in healthy young men","URL":"https://linkinghub.elsevier.com/retrieve/pii/S0306453013000747","volume":"38","author":[{"family":"Tollenaar","given":"Marieke S."},{"family":"Chatzimanoli","given":"Michaela"},{"family":"Van Der Wee","given":"Nic J.A."},{"family":"Putman","given":"Peter"}],"accessed":{"date-parts":[["2025",6,28]]},"issued":{"date-parts":[["2013",9]]}}}],"schema":"https://github.com/citation-style-language/schema/raw/master/csl-citation.json"} </w:instrText>
      </w:r>
      <w:r w:rsidR="00185CD9">
        <w:fldChar w:fldCharType="separate"/>
      </w:r>
      <w:r w:rsidR="001B5057" w:rsidRPr="001B5057">
        <w:rPr>
          <w:rFonts w:cs="Linux Libertine"/>
        </w:rPr>
        <w:t>[21]</w:t>
      </w:r>
      <w:r w:rsidR="00185CD9">
        <w:fldChar w:fldCharType="end"/>
      </w:r>
      <w:r w:rsidRPr="00672ABE">
        <w:t>.</w:t>
      </w:r>
    </w:p>
    <w:p w:rsidR="00672ABE" w:rsidRPr="00672ABE" w:rsidRDefault="00185CD9" w:rsidP="00524B92">
      <w:pPr>
        <w:pStyle w:val="Para"/>
      </w:pPr>
      <w:r>
        <w:t>The i</w:t>
      </w:r>
      <w:r w:rsidR="00672ABE" w:rsidRPr="00672ABE">
        <w:t xml:space="preserve">nternal differences of the observer </w:t>
      </w:r>
      <w:r>
        <w:t xml:space="preserve">are thought to be another cluster of factors that have their role </w:t>
      </w:r>
      <w:r w:rsidR="00672ABE" w:rsidRPr="00672ABE">
        <w:t>as modulatory factors. Traits such as elevated anxiety</w:t>
      </w:r>
      <w:r>
        <w:t xml:space="preserve"> </w:t>
      </w:r>
      <w:r>
        <w:fldChar w:fldCharType="begin"/>
      </w:r>
      <w:r w:rsidR="001B5057">
        <w:instrText xml:space="preserve"> ADDIN ZOTERO_ITEM CSL_CITATION {"citationID":"oBPVQoDC","properties":{"formattedCitation":"[22], [23]","plainCitation":"[22], [23]","noteIndex":0},"citationItems":[{"id":202,"uris":["http://zotero.org/users/15023090/items/PEY5RUMH"],"itemData":{"id":202,"type":"article-journal","container-title":"Social Neuroscience","DOI":"10.1080/17470919.2014.958616","ISSN":"1747-0919, 1747-0927","issue":"1","journalAbbreviation":"Social Neuroscience","language":"en","page":"70-88","source":"DOI.org (Crossref)","title":"Autistic traits influence gaze-oriented attention to happy but not fearful faces","URL":"http://www.tandfonline.com/doi/abs/10.1080/17470919.2014.958616","volume":"10","author":[{"family":"Lassalle","given":"Amandine"},{"family":"Itier","given":"Roxane J."}],"accessed":{"date-parts":[["2025",6,28]]},"issued":{"date-parts":[["2015",1,2]]}}},{"id":200,"uris":["http://zotero.org/users/15023090/items/ZSQGWL5E"],"itemData":{"id":200,"type":"article-journal","container-title":"Visual Cognition","DOI":"10.1080/13506280344000095","ISSN":"1350-6285, 1464-0716","issue":"7","journalAbbreviation":"Visual Cognition","language":"en","page":"823-835","source":"DOI.org (Crossref)","title":"The face of fear: Effects of eye gaze and emotion on visual attention","title-short":"The face of fear","URL":"http://www.tandfonline.com/doi/abs/10.1080/13506280344000095","volume":"10","author":[{"family":"Mathews","given":"Andrew"},{"family":"Fox","given":"Elaine"},{"family":"Yiend","given":"Jenny"},{"family":"Calder","given":"Andy"}],"accessed":{"date-parts":[["2025",6,28]]},"issued":{"date-parts":[["2003",10]]}}}],"schema":"https://github.com/citation-style-language/schema/raw/master/csl-citation.json"} </w:instrText>
      </w:r>
      <w:r>
        <w:fldChar w:fldCharType="separate"/>
      </w:r>
      <w:r w:rsidR="001B5057" w:rsidRPr="001B5057">
        <w:rPr>
          <w:rFonts w:cs="Linux Libertine"/>
        </w:rPr>
        <w:t>[22], [23]</w:t>
      </w:r>
      <w:r>
        <w:fldChar w:fldCharType="end"/>
      </w:r>
      <w:r w:rsidR="00672ABE" w:rsidRPr="00672ABE">
        <w:t xml:space="preserve">, higher levels of fear </w:t>
      </w:r>
      <w:r>
        <w:fldChar w:fldCharType="begin"/>
      </w:r>
      <w:r w:rsidR="001B5057">
        <w:instrText xml:space="preserve"> ADDIN ZOTERO_ITEM CSL_CITATION {"citationID":"0Frkmg8U","properties":{"formattedCitation":"[24]","plainCitation":"[24]","noteIndex":0},"citationItems":[{"id":204,"uris":["http://zotero.org/users/15023090/items/LQD82KPW"],"itemData":{"id":204,"type":"article-journal","container-title":"Cognition &amp; Emotion","DOI":"10.1080/02699930500405550","ISSN":"0269-9931, 1464-0600","issue":"2","journalAbbreviation":"Cognition &amp; Emotion","language":"en","page":"309-320","source":"DOI.org (Crossref)","title":"Fear and fearfulness potentiate automatic orienting to eye gaze","URL":"http://www.tandfonline.com/doi/abs/10.1080/02699930500405550","volume":"20","author":[{"family":"Tipples","given":"Jason"}],"accessed":{"date-parts":[["2025",6,28]]},"issued":{"date-parts":[["2006",2]]}}}],"schema":"https://github.com/citation-style-language/schema/raw/master/csl-citation.json"} </w:instrText>
      </w:r>
      <w:r>
        <w:fldChar w:fldCharType="separate"/>
      </w:r>
      <w:r w:rsidR="001B5057" w:rsidRPr="001B5057">
        <w:rPr>
          <w:rFonts w:cs="Linux Libertine"/>
        </w:rPr>
        <w:t>[24]</w:t>
      </w:r>
      <w:r>
        <w:fldChar w:fldCharType="end"/>
      </w:r>
      <w:r w:rsidR="00672ABE" w:rsidRPr="00672ABE">
        <w:t xml:space="preserve">, or phobias combined with </w:t>
      </w:r>
      <w:r>
        <w:t>higher levels of anxiety traits</w:t>
      </w:r>
      <w:r w:rsidR="00672ABE" w:rsidRPr="00672ABE">
        <w:t xml:space="preserve"> </w:t>
      </w:r>
      <w:r>
        <w:fldChar w:fldCharType="begin"/>
      </w:r>
      <w:r w:rsidR="001B5057">
        <w:instrText xml:space="preserve"> ADDIN ZOTERO_ITEM CSL_CITATION {"citationID":"ChURu0TV","properties":{"formattedCitation":"[25]","plainCitation":"[25]","noteIndex":0},"citationItems":[{"id":113,"uris":["http://zotero.org/users/15023090/items/XTN5TRLQ"],"itemData":{"id":113,"type":"article-journal","container-title":"Frontiers in Psychology","DOI":"10.3389/fpsyg.2015.00454","ISSN":"1664-1078","journalAbbreviation":"Front. Psychol.","source":"DOI.org (Crossref)","title":"Gaze cuing of attention in snake phobic women: the influence of facial expression","title-short":"Gaze cuing of attention in snake phobic women","URL":"http://journal.frontiersin.org/article/10.3389/fpsyg.2015.00454/abstract","volume":"6","author":[{"family":"Pletti","given":"Carolina"},{"family":"Dalmaso","given":"Mario"},{"family":"Sarlo","given":"Michela"},{"family":"Galfano","given":"Giovanni"}],"accessed":{"date-parts":[["2025",6,27]]},"issued":{"date-parts":[["2015",4,20]]}}}],"schema":"https://github.com/citation-style-language/schema/raw/master/csl-citation.json"} </w:instrText>
      </w:r>
      <w:r>
        <w:fldChar w:fldCharType="separate"/>
      </w:r>
      <w:r w:rsidR="001B5057" w:rsidRPr="001B5057">
        <w:rPr>
          <w:rFonts w:cs="Linux Libertine"/>
        </w:rPr>
        <w:t>[25]</w:t>
      </w:r>
      <w:r>
        <w:fldChar w:fldCharType="end"/>
      </w:r>
      <w:r>
        <w:t xml:space="preserve"> </w:t>
      </w:r>
      <w:r w:rsidR="00672ABE" w:rsidRPr="00672ABE">
        <w:t xml:space="preserve">have been linked to stronger GCEs, as have low self-esteem and heightened social needs </w:t>
      </w:r>
      <w:r>
        <w:fldChar w:fldCharType="begin"/>
      </w:r>
      <w:r w:rsidR="001B5057">
        <w:instrText xml:space="preserve"> ADDIN ZOTERO_ITEM CSL_CITATION {"citationID":"lJwBN95u","properties":{"formattedCitation":"[26]","plainCitation":"[26]","noteIndex":0},"citationItems":[{"id":205,"uris":["http://zotero.org/users/15023090/items/XRLBQMLX"],"itemData":{"id":205,"type":"article-journal","container-title":"Personality and Individual Differences","DOI":"10.1016/j.paid.2013.11.017","ISSN":"01918869","journalAbbreviation":"Personality and Individual Differences","language":"en","page":"25-29","source":"DOI.org (Crossref)","title":"The influence of personality on social attention","URL":"https://linkinghub.elsevier.com/retrieve/pii/S0191886913013755","volume":"60","author":[{"family":"Wu","given":"David W.-L."},{"family":"Bischof","given":"Walter F."},{"family":"Anderson","given":"Nicola C."},{"family":"Jakobsen","given":"Tanya"},{"family":"Kingstone","given":"Alan"}],"accessed":{"date-parts":[["2025",6,28]]},"issued":{"date-parts":[["2014",4]]}}}],"schema":"https://github.com/citation-style-language/schema/raw/master/csl-citation.json"} </w:instrText>
      </w:r>
      <w:r>
        <w:fldChar w:fldCharType="separate"/>
      </w:r>
      <w:r w:rsidR="001B5057" w:rsidRPr="001B5057">
        <w:rPr>
          <w:rFonts w:cs="Linux Libertine"/>
        </w:rPr>
        <w:t>[26]</w:t>
      </w:r>
      <w:r>
        <w:fldChar w:fldCharType="end"/>
      </w:r>
      <w:r w:rsidR="00672ABE" w:rsidRPr="00672ABE">
        <w:t xml:space="preserve">. </w:t>
      </w:r>
      <w:r>
        <w:t>More stable p</w:t>
      </w:r>
      <w:r w:rsidR="00672ABE" w:rsidRPr="00672ABE">
        <w:t>ersonality traits</w:t>
      </w:r>
      <w:r>
        <w:t xml:space="preserve"> like </w:t>
      </w:r>
      <w:r>
        <w:t>intro- and extraversion</w:t>
      </w:r>
      <w:r w:rsidR="00672ABE" w:rsidRPr="00672ABE">
        <w:t xml:space="preserve"> also interact with emotional expression</w:t>
      </w:r>
      <w:r>
        <w:t xml:space="preserve"> with </w:t>
      </w:r>
      <w:r w:rsidR="00672ABE" w:rsidRPr="00672ABE">
        <w:t>introverts respond</w:t>
      </w:r>
      <w:r>
        <w:t>ing</w:t>
      </w:r>
      <w:r w:rsidR="00672ABE" w:rsidRPr="00672ABE">
        <w:t xml:space="preserve"> strongly to neutral and happy faces, while extraverts </w:t>
      </w:r>
      <w:r>
        <w:t>are showing higher</w:t>
      </w:r>
      <w:r w:rsidR="00672ABE" w:rsidRPr="00672ABE">
        <w:t xml:space="preserve"> sensitive to angry ones </w:t>
      </w:r>
      <w:r>
        <w:fldChar w:fldCharType="begin"/>
      </w:r>
      <w:r w:rsidR="001B5057">
        <w:instrText xml:space="preserve"> ADDIN ZOTERO_ITEM CSL_CITATION {"citationID":"N1jFdmxN","properties":{"formattedCitation":"[27]","plainCitation":"[27]","noteIndex":0},"citationItems":[{"id":206,"uris":["http://zotero.org/users/15023090/items/IAA4LRFK"],"itemData":{"id":206,"type":"article-journal","container-title":"Cognitive Processing","DOI":"10.1007/s10339-013-0559-z","ISSN":"1612-4782, 1612-4790","issue":"3","journalAbbreviation":"Cogn Process","language":"en","license":"http://www.springer.com/tdm","page":"293-299","source":"DOI.org (Crossref)","title":"“Avoiding or approaching eyes”? Introversion/extraversion affects the gaze-cueing effect","title-short":"“Avoiding or approaching eyes”?","URL":"http://link.springer.com/10.1007/s10339-013-0559-z","volume":"14","author":[{"family":"Ponari","given":"Marta"},{"family":"Trojano","given":"Luigi"},{"family":"Grossi","given":"Dario"},{"family":"Conson","given":"Massimiliano"}],"accessed":{"date-parts":[["2025",6,28]]},"issued":{"date-parts":[["2013",8]]}}}],"schema":"https://github.com/citation-style-language/schema/raw/master/csl-citation.json"} </w:instrText>
      </w:r>
      <w:r>
        <w:fldChar w:fldCharType="separate"/>
      </w:r>
      <w:r w:rsidR="001B5057" w:rsidRPr="001B5057">
        <w:rPr>
          <w:rFonts w:cs="Linux Libertine"/>
        </w:rPr>
        <w:t>[27]</w:t>
      </w:r>
      <w:r>
        <w:fldChar w:fldCharType="end"/>
      </w:r>
      <w:r w:rsidR="00672ABE" w:rsidRPr="00672ABE">
        <w:t xml:space="preserve">. Gender may play a role as well, with stronger GCEs reported in females than males </w:t>
      </w:r>
      <w:r>
        <w:fldChar w:fldCharType="begin"/>
      </w:r>
      <w:r w:rsidR="001B5057">
        <w:instrText xml:space="preserve"> ADDIN ZOTERO_ITEM CSL_CITATION {"citationID":"OiAMI1iI","properties":{"formattedCitation":"[28]","plainCitation":"[28]","noteIndex":0},"citationItems":[{"id":123,"uris":["http://zotero.org/users/15023090/items/C7INXQXX"],"itemData":{"id":123,"type":"article-journal","abstract":"Observing a face with averted eyes results in a reflexive shift of attention to the gazed-at location. Here we present results that show that this effect is weaker in males than in females (Experiment 1). This result is predicted by the ‘extreme male brain’ theory of autism (Baron-Cohen, 2003), which suggests that males in the normal population should display more autism-like traits than females (e.g., poor joint attention). Indeed, participants′ scores on the Autism-Spectrum Quotient (Baron-Cohen, Wheelwright, Stott, Bolton, &amp; Goodyear, 2001) negatively correlated with cueing magnitude. Furthermore, exogenous orienting did not differ between the sexes in two peripheral cueing experiments (Experiments 2a and 2b). However, a final experiment showed that using non-predictive arrows instead of eyes as a central cue also revealed a large gender difference. This demonstrates that reduced orienting from central cues in males generalizes beyond gaze cues. These results show that while peripheral cueing is equivalent in the male and female brains, the attention systems of the two sexes treat noninformative symbolic cues very differently.","container-title":"The Quarterly Journal of Experimental Psychology Section A","DOI":"10.1080/02724980443000124","ISSN":"0272-4987, 1464-0740","issue":"4","journalAbbreviation":"The Quarterly Journal of Experimental Psychology Section A","language":"en","license":"https://journals.sagepub.com/page/policies/text-and-data-mining-license","page":"631-650","source":"DOI.org (Crossref)","title":"Sex differences in eye gaze and symbolic cueing of attention","URL":"https://journals.sagepub.com/doi/10.1080/02724980443000124","volume":"58","author":[{"family":"Bayliss","given":"Andrew P."},{"family":"Di Pellegrino","given":"Giuseppe"},{"family":"Tipper","given":"Steven P."}],"accessed":{"date-parts":[["2025",6,27]]},"issued":{"date-parts":[["2005",5]]}}}],"schema":"https://github.com/citation-style-language/schema/raw/master/csl-citation.json"} </w:instrText>
      </w:r>
      <w:r>
        <w:fldChar w:fldCharType="separate"/>
      </w:r>
      <w:r w:rsidR="001B5057" w:rsidRPr="001B5057">
        <w:rPr>
          <w:rFonts w:cs="Linux Libertine"/>
        </w:rPr>
        <w:t>[28]</w:t>
      </w:r>
      <w:r>
        <w:fldChar w:fldCharType="end"/>
      </w:r>
      <w:r w:rsidR="00672ABE" w:rsidRPr="00672ABE">
        <w:t xml:space="preserve">.  </w:t>
      </w:r>
    </w:p>
    <w:p w:rsidR="00672ABE" w:rsidRPr="00672ABE" w:rsidRDefault="00672ABE" w:rsidP="00524B92">
      <w:pPr>
        <w:pStyle w:val="Para"/>
      </w:pPr>
      <w:r w:rsidRPr="00672ABE">
        <w:t xml:space="preserve">Beyond stable traits, transient internal states such as social acceptance or rejection </w:t>
      </w:r>
      <w:r w:rsidR="006078F7">
        <w:fldChar w:fldCharType="begin"/>
      </w:r>
      <w:r w:rsidR="001B5057">
        <w:instrText xml:space="preserve"> ADDIN ZOTERO_ITEM CSL_CITATION {"citationID":"aTogikSM","properties":{"formattedCitation":"[29]","plainCitation":"[29]","noteIndex":0},"citationItems":[{"id":207,"uris":["http://zotero.org/users/15023090/items/WCRKHDSM"],"itemData":{"id":207,"type":"article-journal","abstract":"Social-psychological theories of belongingness self-regulation suggest that when one's need for interpersonal relationships is not being met, one begins to monitor the social environment more closely. Presumably, this serves to increase awareness of the likelihood of social acceptance versus rejection and to inform later social decision-making processes. The current investigation tested whether low belongingness increases a particular form of social monitoring that has recently been documented in the cognitive literature: gaze-triggered orienting. Low belongingness was operationalized either in terms of low trait self-esteem (Studies 1a and 1b) or in terms of the priming of rejection-related thoughts ( Study 2 ). Across the studies, the normal tendency to orient attention in accordance with another individual's eye gaze was augmented under conditions of low belongingness. However, belongingness had no influence on a nonsocial form of orienting. The results are discussed in terms of their implications for theories of belongingness self-regulation and social attention.","container-title":"Psychological Science","DOI":"10.1111/j.1467-9280.2009.02321.x","ISSN":"0956-7976, 1467-9280","issue":"4","journalAbbreviation":"Psychol Sci","language":"en","license":"https://journals.sagepub.com/page/policies/text-and-data-mining-license","page":"495-501","source":"DOI.org (Crossref)","title":"Gaze-Triggered Orienting as a Tool of the Belongingness Self-Regulation System","URL":"https://journals.sagepub.com/doi/10.1111/j.1467-9280.2009.02321.x","volume":"20","author":[{"family":"Wilkowski","given":"Benjamin M."},{"family":"Robinson","given":"Michael D."},{"family":"Friesen","given":"Chris Kelland"}],"accessed":{"date-parts":[["2025",6,28]]},"issued":{"date-parts":[["2009",4]]}}}],"schema":"https://github.com/citation-style-language/schema/raw/master/csl-citation.json"} </w:instrText>
      </w:r>
      <w:r w:rsidR="006078F7">
        <w:fldChar w:fldCharType="separate"/>
      </w:r>
      <w:r w:rsidR="001B5057" w:rsidRPr="001B5057">
        <w:rPr>
          <w:rFonts w:cs="Linux Libertine"/>
        </w:rPr>
        <w:t>[29]</w:t>
      </w:r>
      <w:r w:rsidR="006078F7">
        <w:fldChar w:fldCharType="end"/>
      </w:r>
      <w:r w:rsidRPr="00672ABE">
        <w:t xml:space="preserve">, or primed feelings of power </w:t>
      </w:r>
      <w:r w:rsidR="006078F7">
        <w:fldChar w:fldCharType="begin"/>
      </w:r>
      <w:r w:rsidR="001B5057">
        <w:instrText xml:space="preserve"> ADDIN ZOTERO_ITEM CSL_CITATION {"citationID":"NAMVwfCU","properties":{"formattedCitation":"[30]","plainCitation":"[30]","noteIndex":0},"citationItems":[{"id":135,"uris":["http://zotero.org/users/15023090/items/K2EDP638"],"itemData":{"id":135,"type":"article-journal","container-title":"PLoS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schema":"https://github.com/citation-style-language/schema/raw/master/csl-citation.json"} </w:instrText>
      </w:r>
      <w:r w:rsidR="006078F7">
        <w:fldChar w:fldCharType="separate"/>
      </w:r>
      <w:r w:rsidR="001B5057" w:rsidRPr="001B5057">
        <w:rPr>
          <w:rFonts w:cs="Linux Libertine"/>
        </w:rPr>
        <w:t>[30]</w:t>
      </w:r>
      <w:r w:rsidR="006078F7">
        <w:fldChar w:fldCharType="end"/>
      </w:r>
      <w:r w:rsidRPr="00672ABE">
        <w:t>, have been shown to modulate the GCE—</w:t>
      </w:r>
      <w:r w:rsidR="006078F7">
        <w:t>underlying</w:t>
      </w:r>
      <w:r w:rsidRPr="00672ABE">
        <w:t xml:space="preserve"> </w:t>
      </w:r>
      <w:r w:rsidR="006078F7">
        <w:t>GCE’s</w:t>
      </w:r>
      <w:r w:rsidRPr="00672ABE">
        <w:t xml:space="preserve"> sensitivity to both </w:t>
      </w:r>
      <w:r w:rsidR="006078F7">
        <w:t>permanent</w:t>
      </w:r>
      <w:r w:rsidRPr="00672ABE">
        <w:t xml:space="preserve"> and </w:t>
      </w:r>
      <w:r w:rsidR="006078F7" w:rsidRPr="00672ABE">
        <w:t>temporary</w:t>
      </w:r>
      <w:r w:rsidRPr="00672ABE">
        <w:t xml:space="preserve"> internal conditions. Interestingly, political temperament also appears to influence gaze cueing, with liberals showing more robust effects than conservatives </w:t>
      </w:r>
      <w:r w:rsidR="006078F7">
        <w:fldChar w:fldCharType="begin"/>
      </w:r>
      <w:r w:rsidR="001B5057">
        <w:instrText xml:space="preserve"> ADDIN ZOTERO_ITEM CSL_CITATION {"citationID":"sWGyjJ3s","properties":{"formattedCitation":"[31]","plainCitation":"[31]","noteIndex":0},"citationItems":[{"id":208,"uris":["http://zotero.org/users/15023090/items/BQUYSCEK"],"itemData":{"id":208,"type":"article-journal","container-title":"Cognitive Processing","DOI":"10.1007/s10339-015-0661-5","ISSN":"1612-4782, 1612-4790","issue":"3","journalAbbreviation":"Cogn Process","language":"en","page":"309-314","source":"DOI.org (Crossref)","title":"The politics of attention contextualized: gaze but not arrow cuing of attention is moderated by political temperament","title-short":"The politics of attention contextualized","URL":"http://link.springer.com/10.1007/s10339-015-0661-5","volume":"16","author":[{"family":"Carraro","given":"Luciana"},{"family":"Dalmaso","given":"Mario"},{"family":"Castelli","given":"Luigi"},{"family":"Galfano","given":"Giovanni"}],"accessed":{"date-parts":[["2025",6,28]]},"issued":{"date-parts":[["2015",8]]}}}],"schema":"https://github.com/citation-style-language/schema/raw/master/csl-citation.json"} </w:instrText>
      </w:r>
      <w:r w:rsidR="006078F7">
        <w:fldChar w:fldCharType="separate"/>
      </w:r>
      <w:r w:rsidR="001B5057" w:rsidRPr="001B5057">
        <w:rPr>
          <w:rFonts w:cs="Linux Libertine"/>
        </w:rPr>
        <w:t>[31]</w:t>
      </w:r>
      <w:r w:rsidR="006078F7">
        <w:fldChar w:fldCharType="end"/>
      </w:r>
      <w:r w:rsidRPr="00672ABE">
        <w:t xml:space="preserve">. </w:t>
      </w:r>
    </w:p>
    <w:p w:rsidR="00672ABE" w:rsidRPr="00672ABE" w:rsidRDefault="00672ABE" w:rsidP="00524B92">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reflect how individual and 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rsidR="00672ABE" w:rsidRDefault="00672ABE" w:rsidP="00524B92">
      <w:pPr>
        <w:pStyle w:val="Para"/>
      </w:pPr>
      <w:r w:rsidRPr="00672ABE">
        <w:t xml:space="preserve">Despite </w:t>
      </w:r>
      <w:r w:rsidR="006078F7">
        <w:t>the large</w:t>
      </w:r>
      <w:r w:rsidRPr="00672ABE">
        <w:t xml:space="preserve"> body of research, one internal state remains notably underexplored in the gaze cueing literature: the sense of agency (</w:t>
      </w:r>
      <w:proofErr w:type="spellStart"/>
      <w:r w:rsidRPr="00672ABE">
        <w:t>SoA</w:t>
      </w:r>
      <w:proofErr w:type="spellEnd"/>
      <w:r w:rsidRPr="00672ABE">
        <w:t>).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rsidR="00672ABE" w:rsidRPr="00672ABE" w:rsidRDefault="00672ABE" w:rsidP="00672ABE">
      <w:pPr>
        <w:pStyle w:val="Head2"/>
      </w:pPr>
      <w:r w:rsidRPr="00672ABE">
        <w:t>The Sense of Agency</w:t>
      </w:r>
    </w:p>
    <w:p w:rsidR="00672ABE" w:rsidRPr="00672ABE" w:rsidRDefault="00672ABE" w:rsidP="00524B92">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w:t>
      </w:r>
      <w:r w:rsidR="005351A0">
        <w:fldChar w:fldCharType="begin"/>
      </w:r>
      <w:r w:rsidR="001B5057">
        <w:instrText xml:space="preserve"> ADDIN ZOTERO_ITEM CSL_CITATION {"citationID":"o2sWwrV3","properties":{"formattedCitation":"[32]","plainCitation":"[32]","noteIndex":0},"citationItems":[{"id":221,"uris":["http://zotero.org/users/15023090/items/PQV2HDZ3"],"itemData":{"id":221,"type":"article-journal","container-title":"Trends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and the experience of controlling them and, through them, controlling events in the external world </w:t>
      </w:r>
      <w:r w:rsidR="005351A0">
        <w:fldChar w:fldCharType="begin"/>
      </w:r>
      <w:r w:rsidR="001B5057">
        <w:instrText xml:space="preserve"> ADDIN ZOTERO_ITEM CSL_CITATION {"citationID":"MzKE13ot","properties":{"formattedCitation":"[33]","plainCitation":"[33]","noteIndex":0},"citationItems":[{"id":222,"uris":["http://zotero.org/users/15023090/items/NLZL9WRA"],"itemData":{"id":222,"type":"article-journal","abstract":"The experience of agency refers to the experience of being in control both of one's own actions and, through them, of events in the external world. Recent experimental studies have investigated how people recognise a particular event as being caused by their own action or by that of another person. These studies suggest that people match sensory inputs to a prediction based on the action they are performing. Other studies have contrasted voluntary actions to physically similar but passive body movements. These studies suggest that voluntary action triggers wide-ranging changes in the spatial and temporal experience not only of one's own body but also of external events. Prediction and monitoring of the consequences of one's own motor commands produces characteristic experiences that form our normal, everyday feeling of being in control of our life. We conclude by discussing the implications of recent psychological work for our notions of responsibility for action.","container-title":"Current Directions in Psychological Science","DOI":"10.1111/j.1467-8721.2009.01644.x","ISSN":"0963-7214, 1467-8721","issue":"4","journalAbbreviation":"Curr Dir Psychol Sci","language":"en","license":"https://journals.sagepub.com/page/policies/text-and-data-mining-license","page":"242-246","source":"DOI.org (Crossref)","title":"The Experience of Agency: Feelings, Judgments, and Responsibility","title-short":"The Experience of Agency","URL":"https://journals.sagepub.com/doi/10.1111/j.1467-8721.2009.01644.x","volume":"18","author":[{"family":"Haggard","given":"Patrick"},{"family":"Tsakiris","given":"Manos"}],"accessed":{"date-parts":[["2025",6,28]]},"issued":{"date-parts":[["2009",8]]}}}],"schema":"https://github.com/citation-style-language/schema/raw/master/csl-citation.json"} </w:instrText>
      </w:r>
      <w:r w:rsidR="005351A0">
        <w:fldChar w:fldCharType="separate"/>
      </w:r>
      <w:r w:rsidR="001B5057" w:rsidRPr="001B5057">
        <w:rPr>
          <w:rFonts w:cs="Linux Libertine"/>
        </w:rPr>
        <w:t>[33]</w:t>
      </w:r>
      <w:r w:rsidR="005351A0">
        <w:fldChar w:fldCharType="end"/>
      </w:r>
      <w:r w:rsidRPr="00672ABE">
        <w:t xml:space="preserve">. In other words, it is the feeling that "I am the one who is </w:t>
      </w:r>
      <w:r w:rsidR="005351A0">
        <w:t xml:space="preserve">doing the act, hence I’m the one </w:t>
      </w:r>
      <w:r w:rsidRPr="00672ABE">
        <w:t xml:space="preserve">causing </w:t>
      </w:r>
      <w:r w:rsidR="005351A0">
        <w:t xml:space="preserve">the </w:t>
      </w:r>
      <w:r w:rsidRPr="00672ABE">
        <w:t xml:space="preserve">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w:t>
      </w:r>
      <w:r w:rsidR="005351A0">
        <w:fldChar w:fldCharType="begin"/>
      </w:r>
      <w:r w:rsidR="001B5057">
        <w:instrText xml:space="preserve"> ADDIN ZOTERO_ITEM CSL_CITATION {"citationID":"9dML9mYL","properties":{"formattedCitation":"[32]","plainCitation":"[32]","noteIndex":0},"citationItems":[{"id":221,"uris":["http://zotero.org/users/15023090/items/PQV2HDZ3"],"itemData":{"id":221,"type":"article-journal","container-title":"Trends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As discussed in Agency and Joint Attention </w:t>
      </w:r>
      <w:r w:rsidR="005351A0">
        <w:fldChar w:fldCharType="begin"/>
      </w:r>
      <w:r w:rsidR="001B5057">
        <w:instrText xml:space="preserve"> ADDIN ZOTERO_ITEM CSL_CITATION {"citationID":"luYPvWMH","properties":{"formattedCitation":"[34]","plainCitation":"[34]","noteIndex":0},"citationItems":[{"id":83,"uris":["http://zotero.org/users/15023090/items/TMGPM97G"],"itemData":{"id":83,"type":"book","ISBN":"978-0-19-998834-1","title":"Agency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 xml:space="preserve">,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rsidR="00672ABE" w:rsidRPr="00672ABE" w:rsidRDefault="00672ABE" w:rsidP="00524B92">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stems from the match between predicted and actual sensory outcomes </w:t>
      </w:r>
      <w:r w:rsidR="005351A0">
        <w:fldChar w:fldCharType="begin"/>
      </w:r>
      <w:r w:rsidR="001B5057">
        <w:instrText xml:space="preserve"> ADDIN ZOTERO_ITEM CSL_CITATION {"citationID":"LEOmdw9i","properties":{"formattedCitation":"[35],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351A0">
        <w:fldChar w:fldCharType="separate"/>
      </w:r>
      <w:r w:rsidR="001B5057" w:rsidRPr="001B5057">
        <w:rPr>
          <w:rFonts w:cs="Linux Libertine"/>
        </w:rPr>
        <w:t>[35], [36]</w:t>
      </w:r>
      <w:r w:rsidR="005351A0">
        <w:fldChar w:fldCharType="end"/>
      </w:r>
      <w:r w:rsidRPr="00672ABE">
        <w:t>. Cue integration models propose that internal motor signals and external cues are combined</w:t>
      </w:r>
      <w:r w:rsidR="005351A0">
        <w:t xml:space="preserve"> and taken into account for the</w:t>
      </w:r>
      <w:r w:rsidRPr="00672ABE">
        <w:t xml:space="preserve"> final judgment of agency (</w:t>
      </w:r>
      <w:proofErr w:type="spellStart"/>
      <w:r w:rsidRPr="00672ABE">
        <w:t>Pacherie</w:t>
      </w:r>
      <w:proofErr w:type="spellEnd"/>
      <w:r w:rsidRPr="00672ABE">
        <w:t xml:space="preserve">, 2013, in </w:t>
      </w:r>
      <w:r w:rsidR="005351A0">
        <w:fldChar w:fldCharType="begin"/>
      </w:r>
      <w:r w:rsidR="001B5057">
        <w:instrText xml:space="preserve"> ADDIN ZOTERO_ITEM CSL_CITATION {"citationID":"BkQqTsRt","properties":{"formattedCitation":"[34]","plainCitation":"[34]","noteIndex":0},"citationItems":[{"id":83,"uris":["http://zotero.org/users/15023090/items/TMGPM97G"],"itemData":{"id":83,"type":"book","ISBN":"978-0-19-998834-1","title":"Agency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 Retrospective inference models argue that agency can also be inferred after the fact, based on contextual and temporal information</w:t>
      </w:r>
      <w:r w:rsidR="005351A0">
        <w:t xml:space="preserve"> (the result)</w:t>
      </w:r>
      <w:r w:rsidRPr="00672ABE">
        <w:t xml:space="preserve"> </w:t>
      </w:r>
      <w:r w:rsidR="005351A0">
        <w:fldChar w:fldCharType="begin"/>
      </w:r>
      <w:r w:rsidR="001B5057">
        <w:instrText xml:space="preserve"> ADDIN ZOTERO_ITEM CSL_CITATION {"citationID":"NAKdMHqH","properties":{"formattedCitation":"[37]","plainCitation":"[37]","noteIndex":0},"citationItems":[{"id":225,"uris":["http://zotero.org/users/15023090/items/TKG7GRKH"],"itemData":{"id":225,"type":"article-journal","container-title":"Journal of Personality and Social Psychology","DOI":"10.1037/0022-3514.86.6.838","ISSN":"1939-1315, 0022-3514","issue":"6","journalAbbreviation":"Journal of Personality and Social Psychology","language":"en","page":"838-848","source":"DOI.org (Crossref)","title":"Vicarious Agency: Experiencing Control Over the Movements of Others.","title-short":"Vicarious Agency","URL":"https://doi.apa.org/doi/10.1037/0022-3514.86.6.838","volume":"86","author":[{"family":"Wegner","given":"Daniel M."},{"family":"Sparrow","given":"Betsy"},{"family":"Winerman","given":"Lea"}],"accessed":{"date-parts":[["2025",6,28]]},"issued":{"date-parts":[["2004"]]}}}],"schema":"https://github.com/citation-style-language/schema/raw/master/csl-citation.json"} </w:instrText>
      </w:r>
      <w:r w:rsidR="005351A0">
        <w:fldChar w:fldCharType="separate"/>
      </w:r>
      <w:r w:rsidR="001B5057" w:rsidRPr="001B5057">
        <w:rPr>
          <w:rFonts w:cs="Linux Libertine"/>
        </w:rPr>
        <w:t>[37]</w:t>
      </w:r>
      <w:r w:rsidR="005351A0">
        <w:fldChar w:fldCharType="end"/>
      </w:r>
      <w:r w:rsidRPr="00672ABE">
        <w:t xml:space="preserve">. Despite their differences, </w:t>
      </w:r>
      <w:r w:rsidR="005351A0">
        <w:t>all three</w:t>
      </w:r>
      <w:r w:rsidRPr="00672ABE">
        <w:t xml:space="preserve"> models converge on a central claim: congruency between intended </w:t>
      </w:r>
      <w:r w:rsidRPr="00672ABE">
        <w:lastRenderedPageBreak/>
        <w:t xml:space="preserve">actions and observed outcomes enhances the experience of agency </w:t>
      </w:r>
      <w:r w:rsidR="005351A0">
        <w:fldChar w:fldCharType="begin"/>
      </w:r>
      <w:r w:rsidR="001B5057">
        <w:instrText xml:space="preserve"> ADDIN ZOTERO_ITEM CSL_CITATION {"citationID":"KT1suZVR","properties":{"formattedCitation":"[34]","plainCitation":"[34]","noteIndex":0},"citationItems":[{"id":83,"uris":["http://zotero.org/users/15023090/items/TMGPM97G"],"itemData":{"id":83,"type":"book","ISBN":"978-0-19-998834-1","title":"Agency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w:t>
      </w:r>
    </w:p>
    <w:p w:rsidR="00672ABE" w:rsidRPr="00672ABE" w:rsidRDefault="00672ABE" w:rsidP="00524B92">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w:t>
      </w:r>
      <w:r w:rsidR="00DA4C47">
        <w:fldChar w:fldCharType="begin"/>
      </w:r>
      <w:r w:rsidR="001B5057">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1B5057" w:rsidRPr="001B5057">
        <w:rPr>
          <w:rFonts w:cs="Linux Libertine"/>
        </w:rPr>
        <w:t>[38]</w:t>
      </w:r>
      <w:r w:rsidR="00DA4C47">
        <w:fldChar w:fldCharType="end"/>
      </w:r>
      <w:r w:rsidRPr="00672ABE">
        <w:t xml:space="preserve"> demonstrated 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w:t>
      </w:r>
      <w:proofErr w:type="spellStart"/>
      <w:r w:rsidR="00DA4C47">
        <w:t>SoA</w:t>
      </w:r>
      <w:proofErr w:type="spellEnd"/>
      <w:r w:rsidR="00DA4C47">
        <w:t xml:space="preserve"> to the </w:t>
      </w:r>
      <w:r w:rsidRPr="00672ABE">
        <w:t>oculomotor domain.</w:t>
      </w:r>
    </w:p>
    <w:p w:rsidR="00672ABE" w:rsidRPr="00672ABE" w:rsidRDefault="00672ABE" w:rsidP="00524B92">
      <w:pPr>
        <w:pStyle w:val="Para"/>
      </w:pPr>
      <w:r w:rsidRPr="00672ABE">
        <w:t xml:space="preserve">Other studies highlight the social </w:t>
      </w:r>
      <w:r w:rsidR="00DA4C47">
        <w:t>nature</w:t>
      </w:r>
      <w:r w:rsidRPr="00672ABE">
        <w:t xml:space="preserve"> of agency.</w:t>
      </w:r>
      <w:r w:rsidR="00DA4C47">
        <w:fldChar w:fldCharType="begin"/>
      </w:r>
      <w:r w:rsidR="001B5057">
        <w:instrText xml:space="preserve"> ADDIN ZOTERO_ITEM CSL_CITATION {"citationID":"8wE8DWes","properties":{"formattedCitation":"[39]","plainCitation":"[39]","noteIndex":0},"citationItems":[{"id":79,"uris":["http://zotero.org/users/15023090/items/83379ZWE"],"itemData":{"id":79,"type":"article-journal","abstract":"Abstract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Braß"},{"family":"Brass","given":"Marcel"}],"issued":{"date-parts":[["2019",9,1]]}}}],"schema":"https://github.com/citation-style-language/schema/raw/master/csl-citation.json"} </w:instrText>
      </w:r>
      <w:r w:rsidR="00DA4C47">
        <w:fldChar w:fldCharType="separate"/>
      </w:r>
      <w:r w:rsidR="001B5057" w:rsidRPr="001B5057">
        <w:rPr>
          <w:rFonts w:cs="Linux Libertine"/>
        </w:rPr>
        <w:t>[39]</w:t>
      </w:r>
      <w:r w:rsidR="00DA4C47">
        <w:fldChar w:fldCharType="end"/>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 xml:space="preserve">—a finding that </w:t>
      </w:r>
      <w:r w:rsidR="00DA4C47" w:rsidRPr="00672ABE">
        <w:t>underlines</w:t>
      </w:r>
      <w:r w:rsidRPr="00672ABE">
        <w:t xml:space="preserve"> the role of interpersonal feedback in agency judgments.</w:t>
      </w:r>
    </w:p>
    <w:p w:rsidR="00672ABE" w:rsidRPr="00672ABE" w:rsidRDefault="00672ABE" w:rsidP="00524B92">
      <w:pPr>
        <w:pStyle w:val="Para"/>
      </w:pPr>
      <w:r w:rsidRPr="00672ABE">
        <w:t xml:space="preserve">Together, these results position </w:t>
      </w:r>
      <w:proofErr w:type="spellStart"/>
      <w:r w:rsidRPr="00672ABE">
        <w:t>SoA</w:t>
      </w:r>
      <w:proofErr w:type="spellEnd"/>
      <w:r w:rsidRPr="00672ABE">
        <w:t xml:space="preserve"> as multimodal, context-sensitive, and deeply social, extending beyond physical actions into attentional and communicative domains.</w:t>
      </w:r>
    </w:p>
    <w:p w:rsidR="00672ABE" w:rsidRPr="00672ABE" w:rsidRDefault="00672ABE" w:rsidP="00672ABE">
      <w:pPr>
        <w:pStyle w:val="Head2"/>
        <w:rPr>
          <w:rStyle w:val="meta-value"/>
        </w:rPr>
      </w:pPr>
      <w:r w:rsidRPr="00672ABE">
        <w:rPr>
          <w:rStyle w:val="meta-value"/>
        </w:rPr>
        <w:t>Agency’s Influence on Perception and Attention</w:t>
      </w:r>
    </w:p>
    <w:p w:rsidR="00672ABE" w:rsidRPr="00672ABE" w:rsidRDefault="00672ABE" w:rsidP="00524B92">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r w:rsidR="00DA4C47">
        <w:fldChar w:fldCharType="begin"/>
      </w:r>
      <w:r w:rsidR="001B5057">
        <w:instrText xml:space="preserve"> ADDIN ZOTERO_ITEM CSL_CITATION {"citationID":"DkBDBEDi","properties":{"formattedCitation":"[40]","plainCitation":"[40]","noteIndex":0},"citationItems":[{"id":220,"uris":["http://zotero.org/users/15023090/items/BXX9SD7R"],"itemData":{"id":220,"type":"article-journal","container-title":"Nature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DA4C47">
        <w:fldChar w:fldCharType="separate"/>
      </w:r>
      <w:r w:rsidR="001B5057" w:rsidRPr="001B5057">
        <w:rPr>
          <w:rFonts w:cs="Linux Libertine"/>
        </w:rPr>
        <w:t>[40]</w:t>
      </w:r>
      <w:r w:rsidR="00DA4C47">
        <w:fldChar w:fldCharType="end"/>
      </w:r>
      <w:r w:rsidRPr="00672ABE">
        <w:t xml:space="preserve">. Likewise, sensory attenuation refers to the phenomenon where self-generated stimuli (e.g., sounds, touches) are perceived as less intense, presumably due to predictive down-weighting </w:t>
      </w:r>
      <w:r w:rsidR="00DA4C47">
        <w:fldChar w:fldCharType="begin"/>
      </w:r>
      <w:r w:rsidR="001B5057">
        <w:instrText xml:space="preserve"> ADDIN ZOTERO_ITEM CSL_CITATION {"citationID":"yEvaBq6i","properties":{"formattedCitation":"[41], [42]","plainCitation":"[41], [42]","noteIndex":0},"citationItems":[{"id":228,"uris":["http://zotero.org/users/15023090/items/RWSABDIX"],"itemData":{"id":228,"type":"article-journal","container-title":"Nature Neuroscience","DOI":"10.1038/2870","ISSN":"1097-6256, 1546-1726","issue":"7","journalAbbreviation":"Nat Neurosci","language":"en","license":"http://www.springer.com/tdm","page":"635-640","source":"DOI.org (Crossref)","title":"Central cancellation of self-produced tickle sensation","URL":"https://www.nature.com/articles/nn1198_635","volume":"1","author":[{"family":"Blakemore","given":"Sarah-J."},{"family":"Wolpert","given":"Daniel M."},{"family":"Frith","given":"Chris D."}],"accessed":{"date-parts":[["2025",6,29]]},"issued":{"date-parts":[["1998",11]]}}},{"id":229,"uris":["http://zotero.org/users/15023090/items/LDWRTJ5C"],"itemData":{"id":229,"type":"article-journal","container-title":"Science","DOI":"10.1126/science.1085327","ISSN":"0036-8075, 1095-9203","issue":"5630","journalAbbreviation":"Science","language":"en","page":"187-187","source":"DOI.org (Crossref)","title":"Two Eyes for an Eye: The Neuroscience of Force Escalation","title-short":"Two Eyes for an Eye","URL":"https://www.science.org/doi/10.1126/science.1085327","volume":"301","author":[{"family":"Shergill","given":"Sukhwinder S."},{"family":"Bays","given":"Paul M."},{"family":"Frith","given":"Chris D."},{"family":"Wolpert","given":"Daniel M."}],"accessed":{"date-parts":[["2025",6,29]]},"issued":{"date-parts":[["2003",7,11]]}}}],"schema":"https://github.com/citation-style-language/schema/raw/master/csl-citation.json"} </w:instrText>
      </w:r>
      <w:r w:rsidR="00DA4C47">
        <w:fldChar w:fldCharType="separate"/>
      </w:r>
      <w:r w:rsidR="001B5057" w:rsidRPr="001B5057">
        <w:rPr>
          <w:rFonts w:cs="Linux Libertine"/>
        </w:rPr>
        <w:t>[41], [42]</w:t>
      </w:r>
      <w:r w:rsidR="00DA4C47">
        <w:fldChar w:fldCharType="end"/>
      </w:r>
      <w:r w:rsidRPr="00672ABE">
        <w:t>.</w:t>
      </w:r>
    </w:p>
    <w:p w:rsidR="00724D41" w:rsidRDefault="00672ABE" w:rsidP="00524B92">
      <w:pPr>
        <w:pStyle w:val="Para"/>
      </w:pPr>
      <w:proofErr w:type="spellStart"/>
      <w:r w:rsidRPr="00672ABE">
        <w:t>SoA</w:t>
      </w:r>
      <w:proofErr w:type="spellEnd"/>
      <w:r w:rsidRPr="00672ABE">
        <w:t xml:space="preserve"> also influences higher-level attention and perceptual salience.</w:t>
      </w:r>
      <w:r w:rsidR="00724D41" w:rsidRPr="00724D41">
        <w:t xml:space="preserve"> </w:t>
      </w:r>
      <w:r w:rsidR="00724D41">
        <w:t xml:space="preserve">As summarized by Wen and </w:t>
      </w:r>
      <w:proofErr w:type="spellStart"/>
      <w:r w:rsidR="00724D41">
        <w:t>Imamizu</w:t>
      </w:r>
      <w:proofErr w:type="spellEnd"/>
      <w:r w:rsidR="00724D41">
        <w:t xml:space="preserve"> (2022)</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r w:rsidR="000332B5">
        <w:fldChar w:fldCharType="begin"/>
      </w:r>
      <w:r w:rsidR="001B5057">
        <w:instrText xml:space="preserve"> ADDIN ZOTERO_ITEM CSL_CITATION {"citationID":"zbDrNRVR","properties":{"formattedCitation":"[43]","plainCitation":"[43]","noteIndex":0},"citationItems":[{"id":234,"uris":["http://zotero.org/users/15023090/items/V5W9DJ6N"],"itemData":{"id":234,"type":"article-journal","container-title":"Nature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0332B5">
        <w:fldChar w:fldCharType="separate"/>
      </w:r>
      <w:r w:rsidR="001B5057" w:rsidRPr="001B5057">
        <w:rPr>
          <w:rFonts w:cs="Linux Libertine"/>
        </w:rPr>
        <w:t>[43]</w:t>
      </w:r>
      <w:r w:rsidR="000332B5">
        <w:fldChar w:fldCharType="end"/>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the distribution of attention is also shaped by shared agency. When people feel mutually responsible for an outcome, they align their attention with that of their partner to coordinate more effectively. This mutual sense of control promotes synchronized gaze, enhances prediction of others’ behavior, and helps focus attention on task-relevant cues</w:t>
      </w:r>
      <w:r w:rsidR="00724D41">
        <w:t xml:space="preserve"> </w:t>
      </w:r>
      <w:r w:rsidR="00724D41">
        <w:fldChar w:fldCharType="begin"/>
      </w:r>
      <w:r w:rsidR="001B5057">
        <w:instrText xml:space="preserve"> ADDIN ZOTERO_ITEM CSL_CITATION {"citationID":"cZ9db4Z3","properties":{"formattedCitation":"[34]","plainCitation":"[34]","noteIndex":0},"citationItems":[{"id":83,"uris":["http://zotero.org/users/15023090/items/TMGPM97G"],"itemData":{"id":83,"type":"book","ISBN":"978-0-19-998834-1","title":"Agency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724D41">
        <w:fldChar w:fldCharType="separate"/>
      </w:r>
      <w:r w:rsidR="001B5057" w:rsidRPr="001B5057">
        <w:rPr>
          <w:rFonts w:cs="Linux Libertine"/>
        </w:rPr>
        <w:t>[34]</w:t>
      </w:r>
      <w:r w:rsidR="00724D41">
        <w:fldChar w:fldCharType="end"/>
      </w:r>
      <w:r w:rsidR="00724D41" w:rsidRPr="00724D41">
        <w:t xml:space="preserve">. Overall, </w:t>
      </w:r>
      <w:r w:rsidR="000332B5">
        <w:t xml:space="preserve">those reviews support the notion that </w:t>
      </w:r>
      <w:proofErr w:type="spellStart"/>
      <w:r w:rsidR="00724D41" w:rsidRPr="00724D41">
        <w:t>SoA</w:t>
      </w:r>
      <w:proofErr w:type="spellEnd"/>
      <w:r w:rsidR="00724D41" w:rsidRPr="00724D41">
        <w:t xml:space="preserve"> prioritizes attention toward elements in the environment that are perceived as linked to one’s own or shared actions and goals.</w:t>
      </w:r>
      <w:r w:rsidRPr="00672ABE">
        <w:t xml:space="preserve"> </w:t>
      </w:r>
    </w:p>
    <w:p w:rsidR="0013007D" w:rsidRDefault="00672ABE" w:rsidP="00524B92">
      <w:pPr>
        <w:pStyle w:val="Para"/>
        <w:rPr>
          <w:lang w:val="bg-BG"/>
        </w:rPr>
      </w:pPr>
      <w:r w:rsidRPr="00672ABE">
        <w:t xml:space="preserve">In the social domain, agency and attention appear to interact closely. As mentioned above, Ulloa et al. (2019) demonstrated that eye contact not only communicates engagement but also enhances </w:t>
      </w:r>
      <w:proofErr w:type="spellStart"/>
      <w:r w:rsidRPr="00672ABE">
        <w:t>SoA</w:t>
      </w:r>
      <w:proofErr w:type="spellEnd"/>
      <w:r w:rsidRPr="00672ABE">
        <w:t xml:space="preserve">. Meanwhile, Gutzeit et al. (2024) showed that even gaze-contingent effects—where simply looking in a direction causes an event—are sufficient to elicit </w:t>
      </w:r>
      <w:proofErr w:type="spellStart"/>
      <w:r w:rsidRPr="00672ABE">
        <w:t>SoA</w:t>
      </w:r>
      <w:proofErr w:type="spellEnd"/>
      <w:r w:rsidRPr="00672ABE">
        <w:t>, particularly when the action–effect relationship is perceived as contingent and predictable.</w:t>
      </w:r>
      <w:r w:rsidR="0013007D">
        <w:t xml:space="preserve"> </w:t>
      </w:r>
    </w:p>
    <w:p w:rsidR="0013007D" w:rsidRDefault="0013007D" w:rsidP="00524B92">
      <w:pPr>
        <w:pStyle w:val="Para"/>
        <w:rPr>
          <w:lang w:val="bg-BG"/>
        </w:rPr>
      </w:pPr>
    </w:p>
    <w:p w:rsidR="0013007D" w:rsidRPr="0013007D" w:rsidRDefault="0013007D" w:rsidP="00524B92">
      <w:pPr>
        <w:pStyle w:val="Para"/>
        <w:rPr>
          <w:lang w:val="bg-BG"/>
        </w:rPr>
      </w:pPr>
      <w:r w:rsidRPr="0013007D">
        <w:t>Considering the existing literature on both gaze cueing (GC) and the sense of agency (</w:t>
      </w:r>
      <w:proofErr w:type="spellStart"/>
      <w:r w:rsidRPr="0013007D">
        <w:t>SoA</w:t>
      </w:r>
      <w:proofErr w:type="spellEnd"/>
      <w:r w:rsidRPr="0013007D">
        <w:t xml:space="preserve">), as well as the many points of </w:t>
      </w:r>
      <w:r w:rsidRPr="0013007D">
        <w:t xml:space="preserve">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—it is logical to ask whether there is an overlap between these two mechanisms, and if so, what its nature might be.</w:t>
      </w:r>
    </w:p>
    <w:p w:rsidR="00524B92" w:rsidRPr="00524B92" w:rsidRDefault="00524B92" w:rsidP="00524B92">
      <w:pPr>
        <w:pStyle w:val="Head1"/>
      </w:pPr>
      <w:r w:rsidRPr="00524B92">
        <w:t>Current Study</w:t>
      </w:r>
    </w:p>
    <w:p w:rsidR="00524B92" w:rsidRPr="00524B92" w:rsidRDefault="00524B92" w:rsidP="00524B92">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rsidR="00524B92" w:rsidRPr="00524B92" w:rsidRDefault="00524B92" w:rsidP="00524B92">
      <w:pPr>
        <w:pStyle w:val="Para"/>
      </w:pPr>
      <w:r w:rsidRPr="00524B92">
        <w:t>Despite its theoretical significance and centrality to volitional behavior, the influence of the sense of agency (</w:t>
      </w:r>
      <w:proofErr w:type="spellStart"/>
      <w:r w:rsidRPr="00524B92">
        <w:t>SoA</w:t>
      </w:r>
      <w:proofErr w:type="spellEnd"/>
      <w:r w:rsidRPr="00524B92">
        <w:t xml:space="preserve">)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w:t>
      </w:r>
      <w:r w:rsidR="005F564B">
        <w:fldChar w:fldCharType="begin"/>
      </w:r>
      <w:r w:rsidR="001B5057">
        <w:instrText xml:space="preserve"> ADDIN ZOTERO_ITEM CSL_CITATION {"citationID":"vROZuB6g","properties":{"formattedCitation":"[39], [44]","plainCitation":"[39], [44]","noteIndex":0},"citationItems":[{"id":79,"uris":["http://zotero.org/users/15023090/items/83379ZWE"],"itemData":{"id":79,"type":"article-journal","abstract":"Abstract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Braß"},{"family":"Brass","given":"Marcel"}],"issued":{"date-parts":[["2019",9,1]]}}},{"id":76,"uris":["http://zotero.org/users/15023090/items/J6N9V94V"],"itemData":{"id":76,"type":"article-journal","abstract":"Humans feel a sense of agency over the eﬀects their motor system causes. This is the case for manual actions such as pushing buttons, kicking footballs, and all acts that aﬀect the physical environment. We ask whether initiating joint attention – causing another person to follow our eye movement – can elicit an implicit sense of agency over this congruent gaze response. Eye movements themselves cannot directly aﬀect the physical environment, but joint attention is an example of how eye movements can indirectly cause social outcomes. Here we show that leading the gaze of an on-screen face induces an underestimation of the temporal gap between action and consequence (Experiments 1 and 2). This underestimation eﬀect, named ‘temporal binding,’ is thought to be a measure of an implicit sense of agency. Experiment 3 asked whether merely making an eye movement in a nonagentic, non-social context might also aﬀect temporal estimation, and no reliable eﬀects were detected, implying that inconsequential oculomotor acts do not reliably aﬀect temporal estimations under these conditions. Together, these ﬁndings suggest that an implicit sense of agency is generated when initiating joint attention interactions. This is important for understanding how humans can eﬃciently detect and understand the social consequences of their actions.","container-title":"Cognition","DOI":"10.1016/j.cognition.2017.12.011","ISSN":"0010-0277","language":"en","license":"https://www.elsevier.com/tdm/userlicense/1.0/","note":"publisher: Elsevier BV","page":"124-133","source":"Crossref","title":"Eyes that bind us: Gaze leading induces an implicit sense of agency","title-short":"Eyes that bind us","URL":"https://linkinghub.elsevier.com/retrieve/pii/S0010027717303311","volume":"172","author":[{"family":"Stephenson","given":"Lisa J."},{"family":"Edwards","given":"S. Gareth"},{"family":"Howard","given":"Emma E."},{"family":"Bayliss","given":"Andrew P."}],"accessed":{"date-parts":[["2025",5,1]]},"issued":{"date-parts":[["2018",3]]}}}],"schema":"https://github.com/citation-style-language/schema/raw/master/csl-citation.json"} </w:instrText>
      </w:r>
      <w:r w:rsidR="005F564B">
        <w:fldChar w:fldCharType="separate"/>
      </w:r>
      <w:r w:rsidR="001B5057" w:rsidRPr="001B5057">
        <w:rPr>
          <w:rFonts w:cs="Linux Libertine"/>
        </w:rPr>
        <w:t>[39], [44]</w:t>
      </w:r>
      <w:r w:rsidR="005F564B">
        <w:fldChar w:fldCharType="end"/>
      </w:r>
      <w:r w:rsidRPr="00524B92">
        <w:t xml:space="preserve">,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w:t>
      </w:r>
      <w:r w:rsidR="005F564B">
        <w:t>GCE</w:t>
      </w:r>
      <w:r w:rsidRPr="00524B92">
        <w:t>.</w:t>
      </w:r>
    </w:p>
    <w:p w:rsidR="00524B92" w:rsidRPr="00524B92" w:rsidRDefault="00524B92" w:rsidP="00524B92">
      <w:pPr>
        <w:pStyle w:val="Para"/>
      </w:pPr>
      <w:r w:rsidRPr="00524B92">
        <w:t xml:space="preserve">In this experiment, we operationalize </w:t>
      </w:r>
      <w:proofErr w:type="spellStart"/>
      <w:r w:rsidRPr="00524B92">
        <w:t>SoA</w:t>
      </w:r>
      <w:proofErr w:type="spellEnd"/>
      <w:r w:rsidRPr="00524B92">
        <w:t xml:space="preserve"> through action–outcome congruency: whether the direction of a gaze shift aligns with the participant’s chosen action. Participants perform a color categorization task in which a synthetic face with dynamic pupil motion precedes target onset. In active trials, participants choose a direction, which then either matches (congruent) or opposes (incongruent) the resulting gaze direction. In passive (control) trials, gaze direction is externally determined and participants have no control over it. The gaze direction itself is either valid (target appears on the same side) or invalid (opposite side), allowing us to measure how agency modulates the behavioral impact of gaze cues.</w:t>
      </w:r>
    </w:p>
    <w:p w:rsidR="00524B92" w:rsidRPr="00524B92" w:rsidRDefault="00524B92" w:rsidP="00524B92">
      <w:pPr>
        <w:pStyle w:val="Para"/>
      </w:pPr>
      <w:r w:rsidRPr="00524B92">
        <w:t xml:space="preserve">This design allows us to </w:t>
      </w:r>
      <w:r w:rsidR="005F564B" w:rsidRPr="00524B92">
        <w:t>examine</w:t>
      </w:r>
      <w:r w:rsidRPr="00524B92">
        <w:t xml:space="preserve"> how internal states like </w:t>
      </w:r>
      <w:proofErr w:type="spellStart"/>
      <w:r w:rsidRPr="00524B92">
        <w:t>SoA</w:t>
      </w:r>
      <w:proofErr w:type="spellEnd"/>
      <w:r w:rsidRPr="00524B92">
        <w:t xml:space="preserve"> dynamically shape social attention. Drawing on predictive processing </w:t>
      </w:r>
      <w:r w:rsidR="005F564B">
        <w:fldChar w:fldCharType="begin"/>
      </w:r>
      <w:r w:rsidR="001B5057">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1B5057" w:rsidRPr="001B5057">
        <w:rPr>
          <w:rFonts w:cs="Linux Libertine"/>
        </w:rPr>
        <w:t>[35], [36]</w:t>
      </w:r>
      <w:r w:rsidR="005F564B">
        <w:fldChar w:fldCharType="end"/>
      </w:r>
      <w:r w:rsidRPr="00524B92">
        <w:t xml:space="preserve"> and cue integration frameworks </w:t>
      </w:r>
      <w:r w:rsidR="005F564B" w:rsidRPr="005F564B">
        <w:t>(</w:t>
      </w:r>
      <w:proofErr w:type="spellStart"/>
      <w:r w:rsidR="005F564B" w:rsidRPr="005F564B">
        <w:t>Pacherie</w:t>
      </w:r>
      <w:proofErr w:type="spellEnd"/>
      <w:r w:rsidR="005F564B" w:rsidRPr="005F564B">
        <w:t>, 2013, in Metcalfe &amp; Terrace, 2013)</w:t>
      </w:r>
      <w:r w:rsidRPr="00524B92">
        <w:t xml:space="preserve">, as well as empirical findings showing that congruent action–outcome relationships enhance both agency and attentional salience </w:t>
      </w:r>
      <w:r w:rsidR="005F564B">
        <w:fldChar w:fldCharType="begin"/>
      </w:r>
      <w:r w:rsidR="001B5057">
        <w:instrText xml:space="preserve"> ADDIN ZOTERO_ITEM CSL_CITATION {"citationID":"UzgRFR8E","properties":{"formattedCitation":"[38], [45]","plainCitation":"[38], [45]","noteIndex":0},"citationItems":[{"id":226,"uris":["http://zotero.org/users/15023090/items/SMJZ52ZJ"],"itemData":{"id":226,"type":"article-journal","container-title":"Acta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id":230,"uris":["http://zotero.org/users/15023090/items/R28HSJBB"],"itemData":{"id":230,"type":"article-journal","container-title":"Cognition","DOI":"10.1016/j.cognition.2009.10.016","ISSN":"00100277","issue":"1","journalAbbreviation":"Cognition","language":"en","license":"https://www.elsevier.com/tdm/userlicense/1.0/","page":"26-38","source":"DOI.org (Crossref)","title":"Subliminal priming of actions influences sense of control over effects of action","URL":"https://linkinghub.elsevier.com/retrieve/pii/S0010027709002698","volume":"115","author":[{"family":"Wenke","given":"Dorit"},{"family":"Fleming","given":"Stephen M."},{"family":"Haggard","given":"Patrick"}],"accessed":{"date-parts":[["2025",6,29]]},"issued":{"date-parts":[["2010",4]]}}}],"schema":"https://github.com/citation-style-language/schema/raw/master/csl-citation.json"} </w:instrText>
      </w:r>
      <w:r w:rsidR="005F564B">
        <w:fldChar w:fldCharType="separate"/>
      </w:r>
      <w:r w:rsidR="001B5057" w:rsidRPr="001B5057">
        <w:rPr>
          <w:rFonts w:cs="Linux Libertine"/>
        </w:rPr>
        <w:t>[38], [45]</w:t>
      </w:r>
      <w:r w:rsidR="005F564B">
        <w:fldChar w:fldCharType="end"/>
      </w:r>
      <w:r w:rsidRPr="00524B92">
        <w:t>, we propose that the effectiveness of gaze cues will vary systematically with perceived agency.</w:t>
      </w:r>
    </w:p>
    <w:p w:rsidR="00524B92" w:rsidRPr="00524B92" w:rsidRDefault="00524B92" w:rsidP="00524B92">
      <w:pPr>
        <w:pStyle w:val="Para"/>
      </w:pPr>
      <w:r w:rsidRPr="00524B92">
        <w:t xml:space="preserve">Specifically, we expect enhanced gaze cueing in active–congruent conditions, where participants’ chosen direction is followed by a matching gaze shift, reinforcing predictive congruency and strengthening </w:t>
      </w:r>
      <w:proofErr w:type="spellStart"/>
      <w:r w:rsidRPr="00524B92">
        <w:t>SoA</w:t>
      </w:r>
      <w:proofErr w:type="spellEnd"/>
      <w:r w:rsidRPr="00524B92">
        <w:t>. By contrast, active–incongruent trials may weaken or disrupt cueing, as the violated expectation likely reduces perceived agency. Passive trials, in which no volitional input is involved, are expected to yield intermediate effects, reflecting neither enhanced agency nor explicit violation of expectations.</w:t>
      </w:r>
    </w:p>
    <w:p w:rsidR="00524B92" w:rsidRDefault="00524B92" w:rsidP="00524B92">
      <w:pPr>
        <w:pStyle w:val="Para"/>
      </w:pPr>
      <w:r w:rsidRPr="00524B92">
        <w:t xml:space="preserve">This approach inverts previous paradigms focused on how gaze influences agency, offering instead a novel framework for understanding 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w:t>
      </w:r>
      <w:r w:rsidRPr="00524B92">
        <w:lastRenderedPageBreak/>
        <w:t>highlighting the bidirectional interplay between internal states and social cues. Moreover, our work has broader implications: real-world joint attention and social coordination often depend on a person’s perceived role as an initiator or responder. Understanding how perceived control modulates attention to gaze can inform not only cognitive models of social perception, but also practical applications in education, therapy, and the design of socially responsive artificial agents.</w:t>
      </w:r>
    </w:p>
    <w:p w:rsidR="00524B92" w:rsidRDefault="00524B92" w:rsidP="00524B92">
      <w:pPr>
        <w:pStyle w:val="Head1"/>
      </w:pPr>
      <w:r>
        <w:t>Experiment</w:t>
      </w:r>
    </w:p>
    <w:p w:rsidR="00524B92" w:rsidRDefault="00524B92" w:rsidP="00524B92">
      <w:pPr>
        <w:pStyle w:val="Head2"/>
      </w:pPr>
      <w:r>
        <w:t>Method</w:t>
      </w:r>
    </w:p>
    <w:p w:rsidR="00524B92" w:rsidRDefault="00524B92" w:rsidP="00524B92">
      <w:pPr>
        <w:pStyle w:val="Head3"/>
      </w:pPr>
      <w:r w:rsidRPr="00524B92">
        <w:t xml:space="preserve">Participants </w:t>
      </w:r>
    </w:p>
    <w:p w:rsidR="00524B92" w:rsidRPr="00524B92" w:rsidRDefault="00524B92" w:rsidP="00524B9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rsidR="00524B92" w:rsidRPr="00524B92" w:rsidRDefault="00524B92" w:rsidP="00524B92">
      <w:pPr>
        <w:pStyle w:val="Para"/>
      </w:pPr>
    </w:p>
    <w:p w:rsidR="00524B92" w:rsidRDefault="00524B92" w:rsidP="00524B92">
      <w:pPr>
        <w:pStyle w:val="Head3"/>
      </w:pPr>
      <w:r w:rsidRPr="00524B92">
        <w:t xml:space="preserve">Stimuli, Design, and Procedure </w:t>
      </w:r>
    </w:p>
    <w:p w:rsidR="00524B92" w:rsidRDefault="00524B92" w:rsidP="00524B92">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w:t>
      </w:r>
      <w:r w:rsidR="00BF7B4F">
        <w:fldChar w:fldCharType="begin"/>
      </w:r>
      <w:r w:rsidR="001B5057">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BF7B4F">
        <w:fldChar w:fldCharType="separate"/>
      </w:r>
      <w:r w:rsidR="001B5057" w:rsidRPr="001B5057">
        <w:rPr>
          <w:rFonts w:cs="Linux Libertine"/>
        </w:rPr>
        <w:t>[46]</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positioned at the eye central ‘line’. Target colors were violet (</w:t>
      </w:r>
      <w:proofErr w:type="spellStart"/>
      <w:r w:rsidRPr="00524B92">
        <w:t>BlueViolet</w:t>
      </w:r>
      <w:proofErr w:type="spellEnd"/>
      <w:r w:rsidRPr="00524B92">
        <w:t>, RGB: 138, 43, 226) or magenta (Magenta, RGB: 255, 0, 255) filled in one of the squares as soon as the eye movement was completed. Figure 1 presents a trial example.</w:t>
      </w:r>
    </w:p>
    <w:p w:rsidR="00524B92" w:rsidRDefault="00524B92" w:rsidP="00524B92">
      <w:pPr>
        <w:pStyle w:val="Para"/>
      </w:pPr>
    </w:p>
    <w:p w:rsidR="00524B92" w:rsidRDefault="00524B92" w:rsidP="00524B92">
      <w:pPr>
        <w:pStyle w:val="Image"/>
      </w:pPr>
      <w:r>
        <w:rPr>
          <w:noProof/>
        </w:rPr>
        <w:drawing>
          <wp:inline distT="0" distB="0" distL="0" distR="0" wp14:anchorId="52B3050A" wp14:editId="38D52C92">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rsidR="00524B92" w:rsidRDefault="00524B92" w:rsidP="00115341">
      <w:pPr>
        <w:pStyle w:val="FigureCaption"/>
        <w:jc w:val="both"/>
      </w:pPr>
      <w:r>
        <w:t xml:space="preserve">Figure 1: Trial </w:t>
      </w:r>
      <w:r w:rsidR="00BF7B4F">
        <w:t>timeline example</w:t>
      </w:r>
    </w:p>
    <w:p w:rsidR="00524B92" w:rsidRDefault="00524B92" w:rsidP="00524B92">
      <w:pPr>
        <w:pStyle w:val="Para"/>
      </w:pPr>
    </w:p>
    <w:p w:rsidR="00524B92" w:rsidRDefault="00524B92" w:rsidP="00524B92">
      <w:pPr>
        <w:pStyle w:val="Para"/>
      </w:pPr>
      <w:r>
        <w:t xml:space="preserve">Stimuli presentation and response collection was controlled by E-prime 2.0 software </w:t>
      </w:r>
      <w:r w:rsidR="00BF7B4F">
        <w:fldChar w:fldCharType="begin"/>
      </w:r>
      <w:r w:rsidR="001B5057">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1B5057" w:rsidRPr="001B5057">
        <w:rPr>
          <w:rFonts w:cs="Linux Libertine"/>
        </w:rPr>
        <w:t>[47]</w:t>
      </w:r>
      <w:r w:rsidR="00BF7B4F">
        <w:fldChar w:fldCharType="end"/>
      </w:r>
      <w:r>
        <w:t xml:space="preserve">. Participants were tested individually in a sound-proof booth in front of 22-inch monitor with resolution of </w:t>
      </w:r>
      <w:r>
        <w:t xml:space="preserve">1920x1080 pixels and refresh rate of 50 Hz. They were positioned at around 60 cm from the screen. Participants were asked to perform a dual task: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and the participants were asked to press buttons using their right hand. The second task was color discrimination: as soon as the gaze movement was over, one of the squares was colored. Participants were asked to discriminate between colors (violet/magenta) as fast and as accurately as possible pressing a corresponding button on the computer keyboard (“a” </w:t>
      </w:r>
      <w:proofErr w:type="gramStart"/>
      <w:r>
        <w:t>or ”d</w:t>
      </w:r>
      <w:proofErr w:type="gramEnd"/>
      <w:r>
        <w:t xml:space="preserve">”)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 The red cross stayed on the screen for a random time between 500 and 1700 </w:t>
      </w:r>
      <w:proofErr w:type="spellStart"/>
      <w:r>
        <w:t>ms.</w:t>
      </w:r>
      <w:proofErr w:type="spellEnd"/>
      <w:r>
        <w:t xml:space="preserve"> Immediately after the face appearance the eyes moved either left or right, towards one of the squares. The movement took 350 </w:t>
      </w:r>
      <w:proofErr w:type="spellStart"/>
      <w:r>
        <w:t>ms.</w:t>
      </w:r>
      <w:proofErr w:type="spellEnd"/>
      <w:r>
        <w:t xml:space="preserve"> In case of movement initiation by a participant, the eye movement could be either consistent with the intended direction of the participants or inconsistent. After the eyes reach their ultimate left or right position, one of the side white squares changed its color into violet or magenta.  Participants had 1500 </w:t>
      </w:r>
      <w:proofErr w:type="spellStart"/>
      <w:r>
        <w:t>ms</w:t>
      </w:r>
      <w:proofErr w:type="spellEnd"/>
      <w:r>
        <w:t xml:space="preserve"> to respond using their left hand. The inter-trial interval was 1000 </w:t>
      </w:r>
      <w:proofErr w:type="spellStart"/>
      <w:r>
        <w:t>ms.</w:t>
      </w:r>
      <w:proofErr w:type="spellEnd"/>
    </w:p>
    <w:p w:rsidR="00524B92" w:rsidRDefault="00524B92" w:rsidP="00524B92">
      <w:pPr>
        <w:pStyle w:val="Para"/>
      </w:pPr>
      <w:r>
        <w:t xml:space="preserve">Participants first went through a practice block that consisted of 16 trials. The experimental procedure consisted of 168 trials (28 trials per condition). Trials were presented </w:t>
      </w:r>
      <w:proofErr w:type="spellStart"/>
      <w:r>
        <w:t>pseudorandomly</w:t>
      </w:r>
      <w:proofErr w:type="spellEnd"/>
      <w:r>
        <w:t xml:space="preserve"> so that there were no more than two consecutive trials with the same condition and color.  The experiment took around 10-15 minutes to complete.</w:t>
      </w:r>
    </w:p>
    <w:p w:rsidR="00524B92" w:rsidRDefault="00524B92" w:rsidP="00BF7B4F">
      <w:pPr>
        <w:pStyle w:val="Head1"/>
      </w:pPr>
      <w:r>
        <w:t>Results and Discussion</w:t>
      </w:r>
    </w:p>
    <w:p w:rsidR="00524B92" w:rsidRDefault="00524B92" w:rsidP="00524B9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 xml:space="preserve">).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1B5057">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1B5057" w:rsidRPr="001B5057">
        <w:rPr>
          <w:rFonts w:cs="Linux Libertine"/>
        </w:rPr>
        <w:t>[48]</w:t>
      </w:r>
      <w:r w:rsidR="00BF7B4F">
        <w:fldChar w:fldCharType="end"/>
      </w:r>
      <w:r>
        <w:t>.</w:t>
      </w:r>
    </w:p>
    <w:p w:rsidR="00524B92" w:rsidRDefault="00524B92" w:rsidP="00524B92">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w:t>
      </w:r>
      <w:proofErr w:type="spellStart"/>
      <w:r>
        <w:t>rANOVA</w:t>
      </w:r>
      <w:proofErr w:type="spellEnd"/>
      <w:r>
        <w:t xml:space="preserve">) with action-outcome </w:t>
      </w:r>
      <w:r>
        <w:lastRenderedPageBreak/>
        <w:t>consistency and gaze cueing as within-subject variables. Bonferroni post-hoc test was applied where appropriate. Table 1 presents descriptive statistics per condition.</w:t>
      </w:r>
    </w:p>
    <w:p w:rsidR="00524B92" w:rsidRDefault="00524B92" w:rsidP="00524B92">
      <w:pPr>
        <w:pStyle w:val="Para"/>
      </w:pPr>
    </w:p>
    <w:tbl>
      <w:tblPr>
        <w:tblStyle w:val="TableGrid"/>
        <w:tblW w:w="4787" w:type="dxa"/>
        <w:tblLook w:val="04A0" w:firstRow="1" w:lastRow="0" w:firstColumn="1" w:lastColumn="0" w:noHBand="0" w:noVBand="1"/>
      </w:tblPr>
      <w:tblGrid>
        <w:gridCol w:w="1183"/>
        <w:gridCol w:w="1790"/>
        <w:gridCol w:w="1814"/>
      </w:tblGrid>
      <w:tr w:rsidR="00524B92" w:rsidRPr="0096437A" w:rsidTr="006B59F8">
        <w:trPr>
          <w:trHeight w:val="304"/>
        </w:trPr>
        <w:tc>
          <w:tcPr>
            <w:tcW w:w="1183" w:type="dxa"/>
            <w:tcBorders>
              <w:left w:val="nil"/>
              <w:bottom w:val="single" w:sz="4" w:space="0" w:color="auto"/>
              <w:right w:val="nil"/>
            </w:tcBorders>
            <w:vAlign w:val="center"/>
          </w:tcPr>
          <w:p w:rsidR="00524B92" w:rsidRDefault="00524B92" w:rsidP="006B59F8">
            <w:pPr>
              <w:rPr>
                <w:rFonts w:eastAsia="Times New Roman"/>
                <w:b/>
                <w:bCs/>
              </w:rPr>
            </w:pPr>
          </w:p>
        </w:tc>
        <w:tc>
          <w:tcPr>
            <w:tcW w:w="3604" w:type="dxa"/>
            <w:gridSpan w:val="2"/>
            <w:tcBorders>
              <w:left w:val="nil"/>
              <w:bottom w:val="single" w:sz="4" w:space="0" w:color="auto"/>
              <w:right w:val="nil"/>
            </w:tcBorders>
            <w:vAlign w:val="center"/>
          </w:tcPr>
          <w:p w:rsidR="00524B92" w:rsidRDefault="00524B92" w:rsidP="006B59F8">
            <w:pPr>
              <w:rPr>
                <w:rFonts w:eastAsia="Times New Roman"/>
                <w:b/>
                <w:bCs/>
              </w:rPr>
            </w:pPr>
            <w:r>
              <w:rPr>
                <w:rFonts w:eastAsia="Times New Roman"/>
                <w:b/>
                <w:bCs/>
              </w:rPr>
              <w:t xml:space="preserve">                       Gaze Cueing</w:t>
            </w:r>
          </w:p>
        </w:tc>
      </w:tr>
      <w:tr w:rsidR="00524B92" w:rsidRPr="0096437A" w:rsidTr="006B59F8">
        <w:trPr>
          <w:trHeight w:val="304"/>
        </w:trPr>
        <w:tc>
          <w:tcPr>
            <w:tcW w:w="1183"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Action-Outcome</w:t>
            </w:r>
          </w:p>
        </w:tc>
        <w:tc>
          <w:tcPr>
            <w:tcW w:w="1790"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Congruent</w:t>
            </w:r>
          </w:p>
        </w:tc>
        <w:tc>
          <w:tcPr>
            <w:tcW w:w="1814"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Incongruent</w:t>
            </w:r>
          </w:p>
        </w:tc>
      </w:tr>
      <w:tr w:rsidR="00524B92" w:rsidRPr="0096437A" w:rsidTr="006B59F8">
        <w:trPr>
          <w:trHeight w:val="304"/>
        </w:trPr>
        <w:tc>
          <w:tcPr>
            <w:tcW w:w="1183" w:type="dxa"/>
            <w:tcBorders>
              <w:left w:val="nil"/>
              <w:bottom w:val="nil"/>
              <w:right w:val="nil"/>
            </w:tcBorders>
            <w:vAlign w:val="center"/>
          </w:tcPr>
          <w:p w:rsidR="00524B92" w:rsidRPr="0096437A" w:rsidRDefault="00524B92" w:rsidP="006B59F8">
            <w:pPr>
              <w:rPr>
                <w:rFonts w:eastAsia="Times New Roman"/>
              </w:rPr>
            </w:pPr>
            <w:r>
              <w:rPr>
                <w:rFonts w:eastAsia="Times New Roman"/>
              </w:rPr>
              <w:t>Consistent</w:t>
            </w:r>
          </w:p>
        </w:tc>
        <w:tc>
          <w:tcPr>
            <w:tcW w:w="1790" w:type="dxa"/>
            <w:tcBorders>
              <w:left w:val="nil"/>
              <w:bottom w:val="nil"/>
              <w:right w:val="nil"/>
            </w:tcBorders>
            <w:vAlign w:val="center"/>
          </w:tcPr>
          <w:p w:rsidR="00524B92" w:rsidRPr="0096437A" w:rsidRDefault="00524B92" w:rsidP="006B59F8">
            <w:pPr>
              <w:rPr>
                <w:rFonts w:eastAsia="Times New Roman"/>
              </w:rPr>
            </w:pPr>
            <w:r>
              <w:rPr>
                <w:rFonts w:eastAsia="Times New Roman"/>
              </w:rPr>
              <w:t>546</w:t>
            </w:r>
            <w:r w:rsidRPr="0096437A">
              <w:rPr>
                <w:rFonts w:eastAsia="Times New Roman"/>
              </w:rPr>
              <w:t>(</w:t>
            </w:r>
            <w:r>
              <w:rPr>
                <w:rFonts w:eastAsia="Times New Roman"/>
              </w:rPr>
              <w:t>78</w:t>
            </w:r>
            <w:r w:rsidRPr="0096437A">
              <w:rPr>
                <w:rFonts w:eastAsia="Times New Roman"/>
              </w:rPr>
              <w:t xml:space="preserve">), </w:t>
            </w:r>
            <w:r>
              <w:rPr>
                <w:rFonts w:eastAsia="Times New Roman"/>
              </w:rPr>
              <w:t>514</w:t>
            </w:r>
            <w:r w:rsidRPr="0096437A">
              <w:rPr>
                <w:rFonts w:eastAsia="Times New Roman"/>
              </w:rPr>
              <w:t>–</w:t>
            </w:r>
            <w:r>
              <w:rPr>
                <w:rFonts w:eastAsia="Times New Roman"/>
              </w:rPr>
              <w:t>579</w:t>
            </w:r>
          </w:p>
        </w:tc>
        <w:tc>
          <w:tcPr>
            <w:tcW w:w="1814" w:type="dxa"/>
            <w:tcBorders>
              <w:left w:val="nil"/>
              <w:bottom w:val="nil"/>
              <w:right w:val="nil"/>
            </w:tcBorders>
            <w:vAlign w:val="center"/>
          </w:tcPr>
          <w:p w:rsidR="00524B92" w:rsidRPr="0096437A" w:rsidRDefault="00524B92" w:rsidP="006B59F8">
            <w:pPr>
              <w:rPr>
                <w:rFonts w:eastAsia="Times New Roman"/>
              </w:rPr>
            </w:pPr>
            <w:r>
              <w:rPr>
                <w:rFonts w:eastAsia="Times New Roman"/>
              </w:rPr>
              <w:t>594</w:t>
            </w:r>
            <w:r w:rsidRPr="0096437A">
              <w:rPr>
                <w:rFonts w:eastAsia="Times New Roman"/>
              </w:rPr>
              <w:t>(</w:t>
            </w:r>
            <w:r>
              <w:rPr>
                <w:rFonts w:eastAsia="Times New Roman"/>
              </w:rPr>
              <w:t>87</w:t>
            </w:r>
            <w:r w:rsidRPr="0096437A">
              <w:rPr>
                <w:rFonts w:eastAsia="Times New Roman"/>
              </w:rPr>
              <w:t xml:space="preserve">), </w:t>
            </w:r>
            <w:r>
              <w:rPr>
                <w:rFonts w:eastAsia="Times New Roman"/>
              </w:rPr>
              <w:t>558</w:t>
            </w:r>
            <w:r w:rsidRPr="0096437A">
              <w:rPr>
                <w:rFonts w:eastAsia="Times New Roman"/>
              </w:rPr>
              <w:t>–</w:t>
            </w:r>
            <w:r>
              <w:rPr>
                <w:rFonts w:eastAsia="Times New Roman"/>
              </w:rPr>
              <w:t>631</w:t>
            </w:r>
          </w:p>
        </w:tc>
      </w:tr>
      <w:tr w:rsidR="00524B92" w:rsidRPr="0096437A" w:rsidTr="006B59F8">
        <w:trPr>
          <w:trHeight w:val="304"/>
        </w:trPr>
        <w:tc>
          <w:tcPr>
            <w:tcW w:w="1183"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Inconsistent</w:t>
            </w:r>
          </w:p>
        </w:tc>
        <w:tc>
          <w:tcPr>
            <w:tcW w:w="1790"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560</w:t>
            </w:r>
            <w:r w:rsidRPr="0096437A">
              <w:rPr>
                <w:rFonts w:eastAsia="Times New Roman"/>
              </w:rPr>
              <w:t>(</w:t>
            </w:r>
            <w:r>
              <w:rPr>
                <w:rFonts w:eastAsia="Times New Roman"/>
              </w:rPr>
              <w:t>77</w:t>
            </w:r>
            <w:r w:rsidRPr="0096437A">
              <w:rPr>
                <w:rFonts w:eastAsia="Times New Roman"/>
              </w:rPr>
              <w:t xml:space="preserve">), </w:t>
            </w:r>
            <w:r>
              <w:rPr>
                <w:rFonts w:eastAsia="Times New Roman"/>
              </w:rPr>
              <w:t>528</w:t>
            </w:r>
            <w:r w:rsidRPr="0096437A">
              <w:rPr>
                <w:rFonts w:eastAsia="Times New Roman"/>
              </w:rPr>
              <w:t>–</w:t>
            </w:r>
            <w:r>
              <w:rPr>
                <w:rFonts w:eastAsia="Times New Roman"/>
              </w:rPr>
              <w:t>593</w:t>
            </w:r>
          </w:p>
        </w:tc>
        <w:tc>
          <w:tcPr>
            <w:tcW w:w="1814"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583</w:t>
            </w:r>
            <w:r w:rsidRPr="0096437A">
              <w:rPr>
                <w:rFonts w:eastAsia="Times New Roman"/>
              </w:rPr>
              <w:t>(</w:t>
            </w:r>
            <w:r>
              <w:rPr>
                <w:rFonts w:eastAsia="Times New Roman"/>
              </w:rPr>
              <w:t>86</w:t>
            </w:r>
            <w:r w:rsidRPr="0096437A">
              <w:rPr>
                <w:rFonts w:eastAsia="Times New Roman"/>
              </w:rPr>
              <w:t xml:space="preserve">), </w:t>
            </w:r>
            <w:r>
              <w:rPr>
                <w:rFonts w:eastAsia="Times New Roman"/>
              </w:rPr>
              <w:t>547</w:t>
            </w:r>
            <w:r w:rsidRPr="0096437A">
              <w:rPr>
                <w:rFonts w:eastAsia="Times New Roman"/>
              </w:rPr>
              <w:t>–</w:t>
            </w:r>
            <w:r>
              <w:rPr>
                <w:rFonts w:eastAsia="Times New Roman"/>
              </w:rPr>
              <w:t>620</w:t>
            </w:r>
          </w:p>
        </w:tc>
      </w:tr>
      <w:tr w:rsidR="00524B92" w:rsidRPr="0096437A" w:rsidTr="006B59F8">
        <w:trPr>
          <w:trHeight w:val="304"/>
        </w:trPr>
        <w:tc>
          <w:tcPr>
            <w:tcW w:w="1183"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586</w:t>
            </w:r>
            <w:r w:rsidRPr="0096437A">
              <w:rPr>
                <w:rFonts w:eastAsia="Times New Roman"/>
              </w:rPr>
              <w:t>(</w:t>
            </w:r>
            <w:r>
              <w:rPr>
                <w:rFonts w:eastAsia="Times New Roman"/>
              </w:rPr>
              <w:t>92</w:t>
            </w:r>
            <w:r w:rsidRPr="0096437A">
              <w:rPr>
                <w:rFonts w:eastAsia="Times New Roman"/>
              </w:rPr>
              <w:t xml:space="preserve">), </w:t>
            </w:r>
            <w:r>
              <w:rPr>
                <w:rFonts w:eastAsia="Times New Roman"/>
              </w:rPr>
              <w:t>547</w:t>
            </w:r>
            <w:r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603</w:t>
            </w:r>
            <w:r w:rsidRPr="0096437A">
              <w:rPr>
                <w:rFonts w:eastAsia="Times New Roman"/>
              </w:rPr>
              <w:t>(9</w:t>
            </w:r>
            <w:r>
              <w:rPr>
                <w:rFonts w:eastAsia="Times New Roman"/>
              </w:rPr>
              <w:t>3</w:t>
            </w:r>
            <w:r w:rsidRPr="0096437A">
              <w:rPr>
                <w:rFonts w:eastAsia="Times New Roman"/>
              </w:rPr>
              <w:t xml:space="preserve">), </w:t>
            </w:r>
            <w:r>
              <w:rPr>
                <w:rFonts w:eastAsia="Times New Roman"/>
              </w:rPr>
              <w:t>564</w:t>
            </w:r>
            <w:r w:rsidRPr="0096437A">
              <w:rPr>
                <w:rFonts w:eastAsia="Times New Roman"/>
              </w:rPr>
              <w:t>–</w:t>
            </w:r>
            <w:r>
              <w:rPr>
                <w:rFonts w:eastAsia="Times New Roman"/>
              </w:rPr>
              <w:t>643</w:t>
            </w:r>
          </w:p>
        </w:tc>
      </w:tr>
    </w:tbl>
    <w:p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rsidR="00524B92" w:rsidRDefault="00524B92" w:rsidP="00524B92">
      <w:pPr>
        <w:pStyle w:val="Para"/>
      </w:pPr>
      <w:proofErr w:type="spellStart"/>
      <w:r>
        <w:t>rANOVA</w:t>
      </w:r>
      <w:proofErr w:type="spellEnd"/>
      <w:r>
        <w:t xml:space="preserve"> obtained </w:t>
      </w:r>
      <w:r w:rsidRPr="00DC7F49">
        <w:t xml:space="preserve">a significant main effect of </w:t>
      </w:r>
      <w:r>
        <w:t xml:space="preserve">gaze cueing </w:t>
      </w:r>
      <w:r w:rsidRPr="00DC7F49">
        <w:t>(</w:t>
      </w:r>
      <w:proofErr w:type="gramStart"/>
      <w:r>
        <w:t>F(</w:t>
      </w:r>
      <w:proofErr w:type="gramEnd"/>
      <w:r>
        <w:t>1,</w:t>
      </w:r>
      <w:proofErr w:type="gramStart"/>
      <w:r>
        <w:t>23)=</w:t>
      </w:r>
      <w:proofErr w:type="gramEnd"/>
      <w:r>
        <w:t xml:space="preserve">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8086E">
        <w:rPr>
          <w:highlight w:val="yellow"/>
        </w:rPr>
        <w:t>action</w:t>
      </w:r>
      <w:r>
        <w:t xml:space="preserve">-outcome consistency was also significant </w:t>
      </w:r>
      <w:r w:rsidRPr="00DC7F49">
        <w:t>(</w:t>
      </w:r>
      <w:proofErr w:type="gramStart"/>
      <w:r>
        <w:t>F(</w:t>
      </w:r>
      <w:proofErr w:type="gramEnd"/>
      <w:r>
        <w:t>2,</w:t>
      </w:r>
      <w:proofErr w:type="gramStart"/>
      <w:r>
        <w:t>46)=</w:t>
      </w:r>
      <w:proofErr w:type="gramEnd"/>
      <w:r>
        <w:t xml:space="preserve">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proofErr w:type="gramStart"/>
      <w:r>
        <w:t>F(</w:t>
      </w:r>
      <w:proofErr w:type="gramEnd"/>
      <w:r>
        <w:t>2,</w:t>
      </w:r>
      <w:proofErr w:type="gramStart"/>
      <w:r>
        <w:t>46)=</w:t>
      </w:r>
      <w:proofErr w:type="gramEnd"/>
      <w:r>
        <w:t>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xml:space="preserve">, difference between incongruent and congruent, p=0.001) as well as a congruence effect in action inconsistent condition (23 </w:t>
      </w:r>
      <w:proofErr w:type="spellStart"/>
      <w:r>
        <w:t>ms</w:t>
      </w:r>
      <w:proofErr w:type="spellEnd"/>
      <w:r>
        <w:t xml:space="preserve">, p=0.036). Surprisingly, there were no congruence effect in the control condition (17 </w:t>
      </w:r>
      <w:proofErr w:type="spellStart"/>
      <w:r>
        <w:t>ms</w:t>
      </w:r>
      <w:proofErr w:type="spellEnd"/>
      <w:r>
        <w:t xml:space="preserve">, p=0359). In addition, and less importantly, Bonferroni post-hoc test found significant difference between congruent action consistent and control (p=0.039) and incongruent control (p&lt;0.001). The difference between the three mean conditions in incongruent gaze cue was insignificant (all </w:t>
      </w:r>
      <w:proofErr w:type="spellStart"/>
      <w:r>
        <w:t>ps</w:t>
      </w:r>
      <w:proofErr w:type="spellEnd"/>
      <w:r>
        <w:t>&gt;0.8) (cf. Figure 2).</w:t>
      </w:r>
    </w:p>
    <w:p w:rsidR="00524B92" w:rsidRDefault="00524B92" w:rsidP="00524B92">
      <w:pPr>
        <w:pStyle w:val="Para"/>
      </w:pPr>
    </w:p>
    <w:p w:rsidR="00524B92" w:rsidRDefault="00524B92" w:rsidP="00524B92">
      <w:pPr>
        <w:pStyle w:val="Image"/>
      </w:pPr>
      <w:r w:rsidRPr="00524B92">
        <w:rPr>
          <w:noProof/>
        </w:rPr>
        <w:drawing>
          <wp:inline distT="0" distB="0" distL="0" distR="0" wp14:anchorId="05A5A51C" wp14:editId="3EBBDE9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6">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rsidR="00524B92" w:rsidRDefault="00524B92" w:rsidP="00115341">
      <w:pPr>
        <w:pStyle w:val="FigureCaption"/>
        <w:jc w:val="both"/>
      </w:pPr>
      <w:r>
        <w:t>Figure 2: A gaze cuing by action consistency interaction. Vertical bars denote 95% CI.</w:t>
      </w:r>
      <w:r w:rsidRPr="00524B92">
        <w:t xml:space="preserve"> * p&lt;0.05; ** p&lt;0.01.</w:t>
      </w:r>
      <w:r>
        <w:t xml:space="preserve">   </w:t>
      </w:r>
    </w:p>
    <w:p w:rsidR="00524B92" w:rsidRPr="00115341" w:rsidRDefault="00524B92" w:rsidP="00524B92">
      <w:pPr>
        <w:pStyle w:val="Para"/>
        <w:rPr>
          <w:highlight w:val="yellow"/>
        </w:rPr>
      </w:pPr>
      <w:r>
        <w:t xml:space="preserve">Overall, the results suggested that the gaze cueing was affected by action consistence. In particular, the action-outcome consistent condition made the effect two times larger than in action inconsistent condition (43 vs 23 </w:t>
      </w:r>
      <w:proofErr w:type="spellStart"/>
      <w:r>
        <w:t>ms</w:t>
      </w:r>
      <w:proofErr w:type="spellEnd"/>
      <w:r>
        <w:t xml:space="preserve">). This result is in line with </w:t>
      </w:r>
      <w:r w:rsidRPr="00115341">
        <w:rPr>
          <w:highlight w:val="yellow"/>
        </w:rPr>
        <w:t>XXX</w:t>
      </w:r>
      <w:r w:rsidR="000332B5">
        <w:t>(</w:t>
      </w:r>
      <w:r w:rsidR="000332B5" w:rsidRPr="00AB5FC3">
        <w:rPr>
          <w:highlight w:val="darkCyan"/>
        </w:rPr>
        <w:t xml:space="preserve">previous literature, supposing that people tend to spare more attention towards actions they feel responsible for (linked to higher </w:t>
      </w:r>
      <w:proofErr w:type="spellStart"/>
      <w:r w:rsidR="000332B5" w:rsidRPr="00AB5FC3">
        <w:rPr>
          <w:highlight w:val="darkCyan"/>
        </w:rPr>
        <w:t>SoA</w:t>
      </w:r>
      <w:proofErr w:type="spellEnd"/>
      <w:r w:rsidR="00AB5FC3" w:rsidRPr="00AB5FC3">
        <w:rPr>
          <w:highlight w:val="darkCyan"/>
        </w:rPr>
        <w:t xml:space="preserve"> </w:t>
      </w:r>
      <w:r w:rsidR="00AB5FC3" w:rsidRPr="00AB5FC3">
        <w:rPr>
          <w:highlight w:val="darkCyan"/>
        </w:rPr>
        <w:fldChar w:fldCharType="begin"/>
      </w:r>
      <w:r w:rsidR="001B5057">
        <w:rPr>
          <w:highlight w:val="darkCyan"/>
        </w:rPr>
        <w:instrText xml:space="preserve"> ADDIN ZOTERO_ITEM CSL_CITATION {"citationID":"54nzoOB2","properties":{"formattedCitation":"[34], [43]","plainCitation":"[34], [43]","noteIndex":0},"citationItems":[{"id":83,"uris":["http://zotero.org/users/15023090/items/TMGPM97G"],"itemData":{"id":83,"type":"book","ISBN":"978-0-19-998834-1","title":"Agency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AB5FC3">
        <w:rPr>
          <w:highlight w:val="darkCyan"/>
        </w:rPr>
        <w:fldChar w:fldCharType="separate"/>
      </w:r>
      <w:r w:rsidR="001B5057" w:rsidRPr="001B5057">
        <w:rPr>
          <w:rFonts w:cs="Linux Libertine"/>
          <w:highlight w:val="darkCyan"/>
        </w:rPr>
        <w:t>[34], [43]</w:t>
      </w:r>
      <w:r w:rsidR="00AB5FC3" w:rsidRPr="00AB5FC3">
        <w:rPr>
          <w:highlight w:val="darkCyan"/>
        </w:rPr>
        <w:fldChar w:fldCharType="end"/>
      </w:r>
      <w:r w:rsidR="000332B5">
        <w:t>)</w:t>
      </w:r>
      <w:r>
        <w:t xml:space="preserve">. The surprising lack of congruency effect in control condition partially can be explain by low expectation level. Since in the control condition eye movement started in a random time between 500 and 1700 </w:t>
      </w:r>
      <w:proofErr w:type="spellStart"/>
      <w:r>
        <w:t>ms</w:t>
      </w:r>
      <w:proofErr w:type="spellEnd"/>
      <w:r>
        <w:t xml:space="preserve"> after cross appearance, participants would be much less prepared to focus in 350 </w:t>
      </w:r>
      <w:proofErr w:type="spellStart"/>
      <w:r>
        <w:t>ms</w:t>
      </w:r>
      <w:proofErr w:type="spellEnd"/>
      <w:r>
        <w:t xml:space="preserve"> for the color appearance. To test this, we run a correlational analysis between time of participants button press (action decision, </w:t>
      </w:r>
      <w:proofErr w:type="gramStart"/>
      <w:r>
        <w:t>Mean</w:t>
      </w:r>
      <w:proofErr w:type="gramEnd"/>
      <w:r>
        <w:t xml:space="preserve">=489 </w:t>
      </w:r>
      <w:proofErr w:type="spellStart"/>
      <w:r>
        <w:t>ms</w:t>
      </w:r>
      <w:proofErr w:type="spellEnd"/>
      <w:r>
        <w:t xml:space="preserve">) and random time of eye movement start in the control condition (Mean=1105 </w:t>
      </w:r>
      <w:proofErr w:type="spellStart"/>
      <w:r>
        <w:t>ms</w:t>
      </w:r>
      <w:proofErr w:type="spellEnd"/>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&gt;0.8). Thus, the correlation analyses confirmed our assumption. In addition, it was obvious that the task to discriminate between the two similar colors was difficult (</w:t>
      </w:r>
      <w:r w:rsidRPr="00115341">
        <w:rPr>
          <w:highlight w:val="yellow"/>
        </w:rPr>
        <w:t>which was the original idea – to say more here).</w:t>
      </w:r>
    </w:p>
    <w:p w:rsidR="00524B92" w:rsidRDefault="00524B92" w:rsidP="00524B92">
      <w:pPr>
        <w:pStyle w:val="Para"/>
      </w:pPr>
      <w:r w:rsidRPr="00115341">
        <w:rPr>
          <w:highlight w:val="yellow"/>
        </w:rPr>
        <w:t>The experiment xxx.</w:t>
      </w:r>
    </w:p>
    <w:p w:rsidR="00524B92" w:rsidRDefault="00524B92" w:rsidP="00115341">
      <w:pPr>
        <w:pStyle w:val="Head2"/>
      </w:pPr>
      <w:r>
        <w:t>RT Distribution Analyses</w:t>
      </w:r>
    </w:p>
    <w:p w:rsidR="00524B92" w:rsidRDefault="00524B92" w:rsidP="00115341">
      <w:pPr>
        <w:pStyle w:val="Para"/>
      </w:pPr>
      <w:r>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r w:rsidRPr="00115341">
        <w:rPr>
          <w:highlight w:val="yellow"/>
        </w:rPr>
        <w:t>automaticity</w:t>
      </w:r>
      <w:r>
        <w:t xml:space="preserve"> of the effect given that the effect was influenced by action consistency.</w:t>
      </w:r>
      <w:r w:rsidR="00AB5FC3">
        <w:t xml:space="preserve"> </w:t>
      </w:r>
    </w:p>
    <w:p w:rsidR="00524B92" w:rsidRDefault="00524B92" w:rsidP="00115341">
      <w:pPr>
        <w:pStyle w:val="Para"/>
      </w:pPr>
      <w:r>
        <w:t xml:space="preserve">To make the analyses clearer, the data were not reduced into the effect size as it is often done </w:t>
      </w:r>
      <w:r w:rsidR="00AB5FC3">
        <w:fldChar w:fldCharType="begin"/>
      </w:r>
      <w:r w:rsidR="001B5057">
        <w:instrText xml:space="preserve"> ADDIN ZOTERO_ITEM CSL_CITATION {"citationID":"pfzF2WC6","properties":{"formattedCitation":"[49]","plainCitation":"[49]","noteIndex":0},"citationItems":[{"id":218,"uris":["http://zotero.org/users/15023090/items/QKKNFLTP"],"itemData":{"id":218,"type":"article-journal","container-title":"Psychonomic Bulletin &amp; Review","DOI":"10.3758/s13423-011-0053-5","ISSN":"1069-9384, 1531-5320","issue":"2","journalAbbreviation":"Psychon Bull Rev","language":"en","license":"http://www.springer.com/tdm","page":"242-266","source":"DOI.org (Crossref)","title":"Reaction time distribution analysis of spatial correspondence effects","URL":"http://link.springer.com/10.3758/s13423-011-0053-5","volume":"18","author":[{"family":"Proctor","given":"Robert W."},{"family":"Miles","given":"James D."},{"family":"Baroni","given":"Giulia"}],"accessed":{"date-parts":[["2025",6,28]]},"issued":{"date-parts":[["2011",4]]}}}],"schema":"https://github.com/citation-style-language/schema/raw/master/csl-citation.json"} </w:instrText>
      </w:r>
      <w:r w:rsidR="00AB5FC3">
        <w:fldChar w:fldCharType="separate"/>
      </w:r>
      <w:r w:rsidR="001B5057" w:rsidRPr="001B5057">
        <w:rPr>
          <w:rFonts w:cs="Linux Libertine"/>
        </w:rPr>
        <w:t>[49]</w:t>
      </w:r>
      <w:r w:rsidR="00AB5FC3">
        <w:fldChar w:fldCharType="end"/>
      </w:r>
      <w:r>
        <w:t xml:space="preserve"> and the conditions were preserved. Individual participants’ data were rank-ordered per pitch and spatial position and then divided into five bins of 20%. Mean RTs per subject and per condition were computed per bin. Within-subject </w:t>
      </w:r>
      <w:proofErr w:type="spellStart"/>
      <w:r>
        <w:t>rANOVAs</w:t>
      </w:r>
      <w:proofErr w:type="spellEnd"/>
      <w:r>
        <w:t xml:space="preserve"> with factors gaze cuing (congruent vs. incongruent), action consistency (consistent vs. inconsistent vs. control) and bins (1-5) were conducted. To avoid </w:t>
      </w:r>
      <w:proofErr w:type="spellStart"/>
      <w:r>
        <w:t>multicomparison</w:t>
      </w:r>
      <w:proofErr w:type="spellEnd"/>
      <w:r>
        <w:t xml:space="preserve"> problem, the </w:t>
      </w:r>
      <w:proofErr w:type="spellStart"/>
      <w:r>
        <w:t>rANOVAs</w:t>
      </w:r>
      <w:proofErr w:type="spellEnd"/>
      <w:r>
        <w:t xml:space="preserve"> were run per action condition separately. Obviously, some results of the analyses mirrored the results presented above. These were only reported and not commented. Since the key interest was the time distribution of the effect across bins and action consistency, the 3-way interactions were submitted to Bonferroni post-hoc test independently of significance of the interactions. Graphical representation of the results is shown in Figure 3. </w:t>
      </w:r>
    </w:p>
    <w:p w:rsidR="00524B92" w:rsidRDefault="00524B92" w:rsidP="00115341">
      <w:pPr>
        <w:pStyle w:val="Para"/>
      </w:pPr>
      <w:r>
        <w:t>Bin analysis of action-outcome consistency showed a significant main effect of gaze cuing (</w:t>
      </w:r>
      <w:proofErr w:type="gramStart"/>
      <w:r>
        <w:t>F(</w:t>
      </w:r>
      <w:proofErr w:type="gramEnd"/>
      <w:r>
        <w:t>1,</w:t>
      </w:r>
      <w:proofErr w:type="gramStart"/>
      <w:r>
        <w:t>9)=</w:t>
      </w:r>
      <w:proofErr w:type="gramEnd"/>
      <w:r>
        <w:t>48.45, p&lt;0.001, ηp2=0.84) and expected main effect of bins (</w:t>
      </w:r>
      <w:proofErr w:type="gramStart"/>
      <w:r>
        <w:t>F(</w:t>
      </w:r>
      <w:proofErr w:type="gramEnd"/>
      <w:r>
        <w:t>4,</w:t>
      </w:r>
      <w:proofErr w:type="gramStart"/>
      <w:r>
        <w:t>36)=</w:t>
      </w:r>
      <w:proofErr w:type="gramEnd"/>
      <w:r>
        <w:t xml:space="preserve">357.79, p&lt;0.001, </w:t>
      </w:r>
      <w:r>
        <w:lastRenderedPageBreak/>
        <w:t xml:space="preserve">ηp2=0.98). Post-hoc analysis showed that significant differences were present across all bins (all </w:t>
      </w:r>
      <w:proofErr w:type="spellStart"/>
      <w:r>
        <w:t>ps</w:t>
      </w:r>
      <w:proofErr w:type="spellEnd"/>
      <w:r>
        <w:t>&lt;0.001). The interaction between bins and gaze cuing was also significant (</w:t>
      </w:r>
      <w:proofErr w:type="gramStart"/>
      <w:r>
        <w:t>F(</w:t>
      </w:r>
      <w:proofErr w:type="gramEnd"/>
      <w:r>
        <w:t>4,</w:t>
      </w:r>
      <w:proofErr w:type="gramStart"/>
      <w:r>
        <w:t>36)=</w:t>
      </w:r>
      <w:proofErr w:type="gramEnd"/>
      <w:r>
        <w:t xml:space="preserve">2.76, p=0.042, ηp2=0.24). The post-hoc test revealed differences between congruent and incongruent conditions across all bins (p varied from 0.022 to &lt;0.001) but the fifth one (p&gt;0.5) (cf. Figure 3).  </w:t>
      </w:r>
    </w:p>
    <w:p w:rsidR="004123AD" w:rsidRDefault="00524B92" w:rsidP="00115341">
      <w:pPr>
        <w:pStyle w:val="Para"/>
      </w:pPr>
      <w:r>
        <w:t>Bin analysis of action-outcome inconsistency showed a significant main effect of gaze cuing (</w:t>
      </w:r>
      <w:proofErr w:type="gramStart"/>
      <w:r>
        <w:t>F(</w:t>
      </w:r>
      <w:proofErr w:type="gramEnd"/>
      <w:r>
        <w:t>1,</w:t>
      </w:r>
      <w:proofErr w:type="gramStart"/>
      <w:r>
        <w:t>7)=</w:t>
      </w:r>
      <w:proofErr w:type="gramEnd"/>
      <w:r>
        <w:t>20.28, p=0.003, ηp2=0.74), main effect of bins (</w:t>
      </w:r>
      <w:proofErr w:type="gramStart"/>
      <w:r>
        <w:t>F(</w:t>
      </w:r>
      <w:proofErr w:type="gramEnd"/>
      <w:r>
        <w:t>4,</w:t>
      </w:r>
      <w:proofErr w:type="gramStart"/>
      <w:r>
        <w:t>28)=</w:t>
      </w:r>
      <w:proofErr w:type="gramEnd"/>
      <w:r>
        <w:t>334.23, p&lt;0.001, ηp2=0.98), and no interaction between bins and gaze cuing (</w:t>
      </w:r>
      <w:proofErr w:type="gramStart"/>
      <w:r>
        <w:t>F(</w:t>
      </w:r>
      <w:proofErr w:type="gramEnd"/>
      <w:r>
        <w:t>4,</w:t>
      </w:r>
      <w:proofErr w:type="gramStart"/>
      <w:r>
        <w:t>28)=</w:t>
      </w:r>
      <w:proofErr w:type="gramEnd"/>
      <w:r>
        <w:t xml:space="preserve">1.20, p=0.331, ηp2=0.15). Post-hoc analysis on bin main effect showed that significant differences were present across all bins (all </w:t>
      </w:r>
      <w:proofErr w:type="spellStart"/>
      <w:r>
        <w:t>ps</w:t>
      </w:r>
      <w:proofErr w:type="spellEnd"/>
      <w:r>
        <w:t xml:space="preserve">&lt;0.001). </w:t>
      </w:r>
    </w:p>
    <w:p w:rsidR="00240D20" w:rsidRDefault="00240D20" w:rsidP="00115341">
      <w:pPr>
        <w:pStyle w:val="Para"/>
      </w:pPr>
    </w:p>
    <w:p w:rsidR="004123AD" w:rsidRDefault="004123AD" w:rsidP="00240D20">
      <w:pPr>
        <w:pStyle w:val="Para"/>
        <w:jc w:val="center"/>
      </w:pPr>
      <w:r>
        <w:rPr>
          <w:noProof/>
        </w:rPr>
        <w:drawing>
          <wp:inline distT="0" distB="0" distL="0" distR="0" wp14:anchorId="7B3997DF" wp14:editId="6B8439EC">
            <wp:extent cx="2514600" cy="204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4600" cy="2041525"/>
                    </a:xfrm>
                    <a:prstGeom prst="rect">
                      <a:avLst/>
                    </a:prstGeom>
                  </pic:spPr>
                </pic:pic>
              </a:graphicData>
            </a:graphic>
          </wp:inline>
        </w:drawing>
      </w:r>
    </w:p>
    <w:p w:rsidR="004123AD" w:rsidRDefault="004123AD" w:rsidP="00240D20">
      <w:pPr>
        <w:pStyle w:val="Para"/>
        <w:jc w:val="center"/>
      </w:pPr>
      <w:r>
        <w:rPr>
          <w:noProof/>
        </w:rPr>
        <w:drawing>
          <wp:inline distT="0" distB="0" distL="0" distR="0" wp14:anchorId="252B55B9" wp14:editId="0A845EC5">
            <wp:extent cx="2514600" cy="2085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2085975"/>
                    </a:xfrm>
                    <a:prstGeom prst="rect">
                      <a:avLst/>
                    </a:prstGeom>
                  </pic:spPr>
                </pic:pic>
              </a:graphicData>
            </a:graphic>
          </wp:inline>
        </w:drawing>
      </w:r>
      <w:r>
        <w:rPr>
          <w:noProof/>
        </w:rPr>
        <w:drawing>
          <wp:inline distT="0" distB="0" distL="0" distR="0" wp14:anchorId="2F0EF662" wp14:editId="6C0EE318">
            <wp:extent cx="2514600" cy="213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4600" cy="2139315"/>
                    </a:xfrm>
                    <a:prstGeom prst="rect">
                      <a:avLst/>
                    </a:prstGeom>
                  </pic:spPr>
                </pic:pic>
              </a:graphicData>
            </a:graphic>
          </wp:inline>
        </w:drawing>
      </w:r>
    </w:p>
    <w:p w:rsidR="004123AD" w:rsidRDefault="004123AD" w:rsidP="004123AD">
      <w:pPr>
        <w:pStyle w:val="FigureCaption"/>
        <w:jc w:val="both"/>
      </w:pPr>
      <w:r>
        <w:t>Figure 3: RT distribution across 5 bins. Horizontal line represents bins from 1 to 5. Vertical bars denote 95% CI. * p&lt;0.05; ** p&lt;0.01; *** p&lt;0.001.</w:t>
      </w:r>
    </w:p>
    <w:p w:rsidR="00524B92" w:rsidRDefault="00524B92" w:rsidP="00115341">
      <w:pPr>
        <w:pStyle w:val="Para"/>
      </w:pPr>
      <w:r>
        <w:t>The post-hoc test on the interaction revealed differences in bin 3 (p=0.005) and 4 (p=0.005) only. The difference in bin 1 and 5 was highly insignificant (p=1.0), and in bin 2 close to significant level (p=0.08).</w:t>
      </w:r>
    </w:p>
    <w:p w:rsidR="00524B92" w:rsidRDefault="00524B92" w:rsidP="00115341">
      <w:pPr>
        <w:pStyle w:val="Para"/>
      </w:pPr>
      <w:r>
        <w:t>Bin analysis of control condition was very similar to the previous result: it showed a significant main effect of gaze cuing (</w:t>
      </w:r>
      <w:proofErr w:type="gramStart"/>
      <w:r>
        <w:t>F(</w:t>
      </w:r>
      <w:proofErr w:type="gramEnd"/>
      <w:r>
        <w:t>1,</w:t>
      </w:r>
      <w:proofErr w:type="gramStart"/>
      <w:r>
        <w:t>8)=</w:t>
      </w:r>
      <w:proofErr w:type="gramEnd"/>
      <w:r>
        <w:t>23.43, p=0.001, ηp2=0.75), main effect of bins (</w:t>
      </w:r>
      <w:proofErr w:type="gramStart"/>
      <w:r>
        <w:t>F(</w:t>
      </w:r>
      <w:proofErr w:type="gramEnd"/>
      <w:r>
        <w:t>4,</w:t>
      </w:r>
      <w:proofErr w:type="gramStart"/>
      <w:r>
        <w:t>32)=</w:t>
      </w:r>
      <w:proofErr w:type="gramEnd"/>
      <w:r>
        <w:t>835.92, p&lt;0.001, ηp2=0.99), and no interaction between bins and gaze cuing (</w:t>
      </w:r>
      <w:proofErr w:type="gramStart"/>
      <w:r>
        <w:t>F(</w:t>
      </w:r>
      <w:proofErr w:type="gramEnd"/>
      <w:r>
        <w:t>4,</w:t>
      </w:r>
      <w:proofErr w:type="gramStart"/>
      <w:r>
        <w:t>32)=</w:t>
      </w:r>
      <w:proofErr w:type="gramEnd"/>
      <w:r>
        <w:t xml:space="preserve">0.48, p=0.750, ηp2=0.57).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rsidR="00115341" w:rsidRDefault="00524B92" w:rsidP="004123AD">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condition suffered from </w:t>
      </w:r>
      <w:r w:rsidRPr="00115341">
        <w:rPr>
          <w:highlight w:val="yellow"/>
        </w:rPr>
        <w:t>XXX</w:t>
      </w:r>
    </w:p>
    <w:p w:rsidR="00115341" w:rsidRPr="00F53E38" w:rsidRDefault="00115341" w:rsidP="00115341">
      <w:r>
        <w:t xml:space="preserve">Taken together, the distribution analyses confirmed and extended the results of the experiment, suggesting that the gaze cuing </w:t>
      </w:r>
      <w:r>
        <w:lastRenderedPageBreak/>
        <w:t xml:space="preserve">congruence effect can be influenced by action-outcome consistency, as well as suggested that the effect is depends on task difficulty </w:t>
      </w:r>
      <w:r w:rsidRPr="00C20FCB">
        <w:rPr>
          <w:highlight w:val="darkCyan"/>
        </w:rPr>
        <w:t>and</w:t>
      </w:r>
      <w:r w:rsidR="00C20FCB" w:rsidRPr="00C20FCB">
        <w:rPr>
          <w:highlight w:val="darkCyan"/>
        </w:rPr>
        <w:t xml:space="preserve"> confirmed previous findings that it</w:t>
      </w:r>
      <w:r w:rsidR="00C20FCB">
        <w:t xml:space="preserve"> </w:t>
      </w:r>
      <w:r>
        <w:t xml:space="preserve">may be not fully automatic. </w:t>
      </w:r>
    </w:p>
    <w:p w:rsidR="00115341" w:rsidRDefault="00115341" w:rsidP="00115341">
      <w:pPr>
        <w:pStyle w:val="Head1"/>
      </w:pPr>
      <w:r w:rsidRPr="00115341">
        <w:t>Conclusion</w:t>
      </w:r>
    </w:p>
    <w:p w:rsidR="00E003EC" w:rsidRPr="00D92194" w:rsidRDefault="00E003EC" w:rsidP="00E003EC">
      <w:pPr>
        <w:pStyle w:val="Para"/>
      </w:pPr>
      <w:r w:rsidRPr="00D92194">
        <w:t>In conclusion, the present study adds the sense of agency (</w:t>
      </w:r>
      <w:proofErr w:type="spellStart"/>
      <w:r w:rsidRPr="00D92194">
        <w:t>SoA</w:t>
      </w:r>
      <w:proofErr w:type="spellEnd"/>
      <w:r w:rsidRPr="00D92194">
        <w:t>) as a potential modulatory factor in gaze cueing (GC), thereby supporting existing research that GC is not merely an automatic, reflexive mechanism but a more complex phenomenon. Our findings suggest that GC can be influenced by transient, experimentally induced internal states of the observer, such as perceived control.</w:t>
      </w:r>
    </w:p>
    <w:p w:rsidR="00E003EC" w:rsidRPr="00D92194" w:rsidRDefault="00E003EC" w:rsidP="00E003EC">
      <w:pPr>
        <w:pStyle w:val="Para"/>
      </w:pPr>
      <w:r w:rsidRPr="00D92194">
        <w:t xml:space="preserve">Furthermore, the stark differences observed between the control condition and the congruent/incongruent conditions—aligned with prior literature—demonstrate that individuals preferentially allocate attention toward environmental elements they feel associated with or responsible for, reinforcing the idea that </w:t>
      </w:r>
      <w:proofErr w:type="spellStart"/>
      <w:r w:rsidRPr="00D92194">
        <w:t>SoA</w:t>
      </w:r>
      <w:proofErr w:type="spellEnd"/>
      <w:r w:rsidRPr="00D92194">
        <w:t xml:space="preserve"> enhances attentional engagement.</w:t>
      </w:r>
    </w:p>
    <w:p w:rsidR="00E003EC" w:rsidRPr="00D92194" w:rsidRDefault="00E003EC" w:rsidP="00E003EC">
      <w:pPr>
        <w:pStyle w:val="Para"/>
      </w:pPr>
      <w:r w:rsidRPr="00D92194">
        <w:t xml:space="preserve">The relationship between </w:t>
      </w:r>
      <w:proofErr w:type="spellStart"/>
      <w:r w:rsidRPr="00D92194">
        <w:t>SoA</w:t>
      </w:r>
      <w:proofErr w:type="spellEnd"/>
      <w:r w:rsidRPr="00D92194">
        <w:t xml:space="preserve"> and GC is still in its early stages of empirical exploration. While the specific mechanisms of this interaction require further investigation, our findings confirm the existence of such a link—an important step toward clarifying it. Gaining deeper insight into this connection may contribute to a more integrated understanding of both phenomena, particularly </w:t>
      </w:r>
      <w:proofErr w:type="spellStart"/>
      <w:r w:rsidRPr="00D92194">
        <w:t>SoA</w:t>
      </w:r>
      <w:proofErr w:type="spellEnd"/>
      <w:r w:rsidRPr="00D92194">
        <w:t>, which remains relatively underexplored in comparison.</w:t>
      </w:r>
    </w:p>
    <w:p w:rsidR="00E003EC" w:rsidRPr="00D92194" w:rsidRDefault="00E003EC" w:rsidP="00E003EC">
      <w:pPr>
        <w:pStyle w:val="Para"/>
      </w:pPr>
      <w:r w:rsidRPr="00D92194">
        <w:t xml:space="preserve">Naturally, this study has its limitations. We did not include explicit or implicit </w:t>
      </w:r>
      <w:proofErr w:type="spellStart"/>
      <w:r w:rsidRPr="00D92194">
        <w:t>SoA</w:t>
      </w:r>
      <w:proofErr w:type="spellEnd"/>
      <w:r w:rsidRPr="00D92194">
        <w:t xml:space="preserve"> measurement scales, a decision made to streamline the experimental procedure and reduce cognitive load for participants. Given the pilot nature of the study, we considered this acceptable. Nonetheless, we believe it is reasonable to infer that agency was higher in conditions requiring participants to press a button to initiate gaze shifts. Future studies will incorporate </w:t>
      </w:r>
      <w:proofErr w:type="spellStart"/>
      <w:r w:rsidRPr="00D92194">
        <w:t>SoA</w:t>
      </w:r>
      <w:proofErr w:type="spellEnd"/>
      <w:r w:rsidRPr="00D92194">
        <w:t xml:space="preserve"> measurement tools to test this assumption directly.</w:t>
      </w:r>
    </w:p>
    <w:p w:rsidR="00E003EC" w:rsidRPr="00D92194" w:rsidRDefault="00E003EC" w:rsidP="00E003EC">
      <w:pPr>
        <w:pStyle w:val="Para"/>
      </w:pPr>
      <w:r w:rsidRPr="00D92194">
        <w:t>Additional limitations stem from the demands of the dual-task paradigm. The speed requirement, as well as the subtle color discrimination between the two target hues, likely contributed to task difficulty. Nevertheless, most participants complied with the conditions successfully. To further improve participant experience, we are considering sequential training for each subtask.</w:t>
      </w:r>
    </w:p>
    <w:p w:rsidR="00D92194" w:rsidRPr="00D92194" w:rsidRDefault="00D92194" w:rsidP="00E003EC">
      <w:pPr>
        <w:pStyle w:val="Para"/>
      </w:pPr>
      <w:r w:rsidRPr="00D92194">
        <w:rPr>
          <w:highlight w:val="yellow"/>
        </w:rPr>
        <w:t>The color aspect….</w:t>
      </w:r>
      <w:r w:rsidRPr="00D92194">
        <w:t xml:space="preserve"> </w:t>
      </w:r>
    </w:p>
    <w:p w:rsidR="009F42D0" w:rsidRPr="00D92194" w:rsidRDefault="00E003EC" w:rsidP="00E003EC">
      <w:pPr>
        <w:pStyle w:val="Para"/>
      </w:pPr>
      <w:r w:rsidRPr="00D92194">
        <w:t xml:space="preserve">Looking ahead, follow-up studies may incorporate more extended measures of </w:t>
      </w:r>
      <w:proofErr w:type="spellStart"/>
      <w:r w:rsidRPr="00D92194">
        <w:t>SoA</w:t>
      </w:r>
      <w:proofErr w:type="spellEnd"/>
      <w:r w:rsidRPr="00D92194">
        <w:t xml:space="preserve">, as well as a wider range of action modalities (e.g., full motor movements). This would allow for a more nuanced analysis of </w:t>
      </w:r>
      <w:proofErr w:type="spellStart"/>
      <w:r w:rsidRPr="00D92194">
        <w:t>SoA</w:t>
      </w:r>
      <w:proofErr w:type="spellEnd"/>
      <w:r w:rsidRPr="00D92194">
        <w:t xml:space="preserve"> and a clearer understanding of how it modulates gaze cueing effects.</w:t>
      </w:r>
      <w:r w:rsidR="008F2E75" w:rsidRPr="00D92194">
        <w:t xml:space="preserve"> </w:t>
      </w:r>
    </w:p>
    <w:p w:rsidR="00052C34" w:rsidRPr="00763D9D" w:rsidRDefault="00052C34" w:rsidP="00052C34">
      <w:pPr>
        <w:pStyle w:val="AckHead"/>
        <w:rPr>
          <w:lang w:val="bg-BG"/>
          <w14:ligatures w14:val="standard"/>
        </w:rPr>
      </w:pPr>
      <w:r w:rsidRPr="00586A35">
        <w:rPr>
          <w14:ligatures w14:val="standard"/>
        </w:rPr>
        <w:t>ACKNOWLEDGMENTS</w:t>
      </w:r>
    </w:p>
    <w:p w:rsidR="00115341" w:rsidRPr="00C269FC" w:rsidRDefault="00115341" w:rsidP="00115341">
      <w:r>
        <w:t>We are grateful to Mihail Karagerov for help in data gathering.</w:t>
      </w:r>
    </w:p>
    <w:p w:rsidR="00AA10C4" w:rsidRPr="00586A35" w:rsidRDefault="00AA10C4" w:rsidP="00DD476E">
      <w:pPr>
        <w:pStyle w:val="AckPara"/>
        <w:rPr>
          <w14:ligatures w14:val="standard"/>
        </w:rPr>
      </w:pPr>
    </w:p>
    <w:p w:rsidR="0007392C" w:rsidRPr="00586A35" w:rsidRDefault="00AA5BF1" w:rsidP="00AA5BF1">
      <w:pPr>
        <w:pStyle w:val="ReferenceHead"/>
        <w:rPr>
          <w14:ligatures w14:val="standard"/>
        </w:rPr>
      </w:pPr>
      <w:r w:rsidRPr="00586A35">
        <w:rPr>
          <w14:ligatures w14:val="standard"/>
        </w:rPr>
        <w:t>REFERENCES</w:t>
      </w:r>
    </w:p>
    <w:p w:rsidR="00C20FCB" w:rsidRPr="00C20FCB" w:rsidRDefault="00C20FCB" w:rsidP="00C20FCB">
      <w:pPr>
        <w:pStyle w:val="Bibentry"/>
        <w:rPr>
          <w14:ligatures w14:val="standard"/>
        </w:rPr>
      </w:pPr>
      <w:r w:rsidRPr="00C20FCB">
        <w:rPr>
          <w14:ligatures w14:val="standard"/>
        </w:rPr>
        <w:t>[1]</w:t>
      </w:r>
    </w:p>
    <w:p w:rsidR="00C20FCB" w:rsidRPr="00C20FCB" w:rsidRDefault="00C20FCB" w:rsidP="00C20FCB">
      <w:pPr>
        <w:pStyle w:val="Bibentry"/>
        <w:rPr>
          <w14:ligatures w14:val="standard"/>
        </w:rPr>
      </w:pPr>
      <w:r w:rsidRPr="00C20FCB">
        <w:rPr>
          <w14:ligatures w14:val="standard"/>
        </w:rPr>
        <w:t xml:space="preserve">J. Metcalfe and H. S. Terrace, </w:t>
      </w:r>
      <w:r w:rsidRPr="00C20FCB">
        <w:rPr>
          <w:i/>
          <w:iCs/>
          <w14:ligatures w14:val="standard"/>
        </w:rPr>
        <w:t>Agency and Joint Attention</w:t>
      </w:r>
      <w:r w:rsidRPr="00C20FCB">
        <w:rPr>
          <w14:ligatures w14:val="standard"/>
        </w:rPr>
        <w:t>. 2013.</w:t>
      </w:r>
    </w:p>
    <w:p w:rsidR="00C20FCB" w:rsidRPr="00C20FCB" w:rsidRDefault="00C20FCB" w:rsidP="00C20FCB">
      <w:pPr>
        <w:pStyle w:val="Bibentry"/>
        <w:rPr>
          <w14:ligatures w14:val="standard"/>
        </w:rPr>
      </w:pPr>
      <w:r w:rsidRPr="00C20FCB">
        <w:rPr>
          <w14:ligatures w14:val="standard"/>
        </w:rPr>
        <w:t>[2]</w:t>
      </w:r>
    </w:p>
    <w:p w:rsidR="00C20FCB" w:rsidRPr="00C20FCB" w:rsidRDefault="00C20FCB" w:rsidP="00C20FCB">
      <w:pPr>
        <w:pStyle w:val="Bibentry"/>
        <w:rPr>
          <w14:ligatures w14:val="standard"/>
        </w:rPr>
      </w:pPr>
      <w:r w:rsidRPr="00C20FCB">
        <w:rPr>
          <w14:ligatures w14:val="standard"/>
        </w:rPr>
        <w:t xml:space="preserve">S.-J. Blakemore, D. M. Wolpert, and C. D. Frith, “Central cancellation of self-produced tickle sensation,” </w:t>
      </w:r>
      <w:r w:rsidRPr="00C20FCB">
        <w:rPr>
          <w:i/>
          <w:iCs/>
          <w14:ligatures w14:val="standard"/>
        </w:rPr>
        <w:t xml:space="preserve">Nat </w:t>
      </w:r>
      <w:proofErr w:type="spellStart"/>
      <w:r w:rsidRPr="00C20FCB">
        <w:rPr>
          <w:i/>
          <w:iCs/>
          <w14:ligatures w14:val="standard"/>
        </w:rPr>
        <w:t>Neurosci</w:t>
      </w:r>
      <w:proofErr w:type="spellEnd"/>
      <w:r w:rsidRPr="00C20FCB">
        <w:rPr>
          <w14:ligatures w14:val="standard"/>
        </w:rPr>
        <w:t xml:space="preserve">, vol. 1, no. 7, pp. 635–640, Nov. 1998, </w:t>
      </w:r>
      <w:proofErr w:type="spellStart"/>
      <w:r w:rsidRPr="00C20FCB">
        <w:rPr>
          <w14:ligatures w14:val="standard"/>
        </w:rPr>
        <w:t>doi</w:t>
      </w:r>
      <w:proofErr w:type="spellEnd"/>
      <w:r w:rsidRPr="00C20FCB">
        <w:rPr>
          <w14:ligatures w14:val="standard"/>
        </w:rPr>
        <w:t xml:space="preserve">: </w:t>
      </w:r>
      <w:hyperlink r:id="rId20" w:history="1">
        <w:r w:rsidRPr="00C20FCB">
          <w:rPr>
            <w:rStyle w:val="Hyperlink"/>
            <w14:ligatures w14:val="standard"/>
          </w:rPr>
          <w:t>10.1038/2870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w:t>
      </w:r>
    </w:p>
    <w:p w:rsidR="00C20FCB" w:rsidRPr="00C20FCB" w:rsidRDefault="00C20FCB" w:rsidP="00C20FCB">
      <w:pPr>
        <w:pStyle w:val="Bibentry"/>
        <w:rPr>
          <w14:ligatures w14:val="standard"/>
        </w:rPr>
      </w:pPr>
      <w:r w:rsidRPr="00C20FCB">
        <w:rPr>
          <w14:ligatures w14:val="standard"/>
        </w:rPr>
        <w:t xml:space="preserve">N. Lavie, “Distracted and </w:t>
      </w:r>
      <w:proofErr w:type="gramStart"/>
      <w:r w:rsidRPr="00C20FCB">
        <w:rPr>
          <w14:ligatures w14:val="standard"/>
        </w:rPr>
        <w:t>confused?:</w:t>
      </w:r>
      <w:proofErr w:type="gramEnd"/>
      <w:r w:rsidRPr="00C20FCB">
        <w:rPr>
          <w14:ligatures w14:val="standard"/>
        </w:rPr>
        <w:t xml:space="preserve"> Selective attention under load,” </w:t>
      </w:r>
      <w:r w:rsidRPr="00C20FCB">
        <w:rPr>
          <w:i/>
          <w:iCs/>
          <w14:ligatures w14:val="standard"/>
        </w:rPr>
        <w:t>Trends in Cognitive Sciences</w:t>
      </w:r>
      <w:r w:rsidRPr="00C20FCB">
        <w:rPr>
          <w14:ligatures w14:val="standard"/>
        </w:rPr>
        <w:t xml:space="preserve">, vol. 9, no. 2, pp. 75–82, Feb. 2005, </w:t>
      </w:r>
      <w:proofErr w:type="spellStart"/>
      <w:r w:rsidRPr="00C20FCB">
        <w:rPr>
          <w14:ligatures w14:val="standard"/>
        </w:rPr>
        <w:t>doi</w:t>
      </w:r>
      <w:proofErr w:type="spellEnd"/>
      <w:r w:rsidRPr="00C20FCB">
        <w:rPr>
          <w14:ligatures w14:val="standard"/>
        </w:rPr>
        <w:t xml:space="preserve">: </w:t>
      </w:r>
      <w:hyperlink r:id="rId21" w:history="1">
        <w:r w:rsidRPr="00C20FCB">
          <w:rPr>
            <w:rStyle w:val="Hyperlink"/>
            <w14:ligatures w14:val="standard"/>
          </w:rPr>
          <w:t>10.1016/j.tics.2004.12.004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[4]</w:t>
      </w:r>
    </w:p>
    <w:p w:rsidR="00C20FCB" w:rsidRPr="00C20FCB" w:rsidRDefault="00C20FCB" w:rsidP="00C20FCB">
      <w:pPr>
        <w:pStyle w:val="Bibentry"/>
        <w:rPr>
          <w14:ligatures w14:val="standard"/>
        </w:rPr>
      </w:pPr>
      <w:r w:rsidRPr="00C20FCB">
        <w:rPr>
          <w14:ligatures w14:val="standard"/>
        </w:rPr>
        <w:t xml:space="preserve">S. R. H. Langton, R. J. Watt, and V. Bruce, “Do the eyes have it? Cues to the direction of social attention,” </w:t>
      </w:r>
      <w:r w:rsidRPr="00C20FCB">
        <w:rPr>
          <w:i/>
          <w:iCs/>
          <w14:ligatures w14:val="standard"/>
        </w:rPr>
        <w:t>Trends in Cognitive Sciences</w:t>
      </w:r>
      <w:r w:rsidRPr="00C20FCB">
        <w:rPr>
          <w14:ligatures w14:val="standard"/>
        </w:rPr>
        <w:t xml:space="preserve">, vol. 4, no. 2, pp. 50–59, Feb. 2000, </w:t>
      </w:r>
      <w:proofErr w:type="spellStart"/>
      <w:r w:rsidRPr="00C20FCB">
        <w:rPr>
          <w14:ligatures w14:val="standard"/>
        </w:rPr>
        <w:t>doi</w:t>
      </w:r>
      <w:proofErr w:type="spellEnd"/>
      <w:r w:rsidRPr="00C20FCB">
        <w:rPr>
          <w14:ligatures w14:val="standard"/>
        </w:rPr>
        <w:t xml:space="preserve">: </w:t>
      </w:r>
      <w:hyperlink r:id="rId22" w:history="1">
        <w:r w:rsidRPr="00C20FCB">
          <w:rPr>
            <w:rStyle w:val="Hyperlink"/>
            <w14:ligatures w14:val="standard"/>
          </w:rPr>
          <w:t>10.1016/S1364-6613(99)01436-9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[5]</w:t>
      </w:r>
    </w:p>
    <w:p w:rsidR="00C20FCB" w:rsidRPr="00C20FCB" w:rsidRDefault="00C20FCB" w:rsidP="00C20FCB">
      <w:pPr>
        <w:pStyle w:val="Bibentry"/>
        <w:rPr>
          <w14:ligatures w14:val="standard"/>
        </w:rPr>
      </w:pPr>
      <w:r w:rsidRPr="00C20FCB">
        <w:rPr>
          <w14:ligatures w14:val="standard"/>
        </w:rPr>
        <w:t xml:space="preserve">E. Mansfield, T. </w:t>
      </w:r>
      <w:proofErr w:type="spellStart"/>
      <w:r w:rsidRPr="00C20FCB">
        <w:rPr>
          <w14:ligatures w14:val="standard"/>
        </w:rPr>
        <w:t>Farroni</w:t>
      </w:r>
      <w:proofErr w:type="spellEnd"/>
      <w:r w:rsidRPr="00C20FCB">
        <w:rPr>
          <w14:ligatures w14:val="standard"/>
        </w:rPr>
        <w:t xml:space="preserve">, and M. Johnson, “Does gaze perception facilitate overt </w:t>
      </w:r>
      <w:proofErr w:type="gramStart"/>
      <w:r w:rsidRPr="00C20FCB">
        <w:rPr>
          <w14:ligatures w14:val="standard"/>
        </w:rPr>
        <w:t>orienting?,</w:t>
      </w:r>
      <w:proofErr w:type="gramEnd"/>
      <w:r w:rsidRPr="00C20FCB">
        <w:rPr>
          <w14:ligatures w14:val="standard"/>
        </w:rPr>
        <w:t xml:space="preserve">” </w:t>
      </w:r>
      <w:r w:rsidRPr="00C20FCB">
        <w:rPr>
          <w:i/>
          <w:iCs/>
          <w14:ligatures w14:val="standard"/>
        </w:rPr>
        <w:t>Visual Cognition</w:t>
      </w:r>
      <w:r w:rsidRPr="00C20FCB">
        <w:rPr>
          <w14:ligatures w14:val="standard"/>
        </w:rPr>
        <w:t xml:space="preserve">, vol. 10, no. 1, pp. 7–14, Jan. 2003, </w:t>
      </w:r>
      <w:proofErr w:type="spellStart"/>
      <w:r w:rsidRPr="00C20FCB">
        <w:rPr>
          <w14:ligatures w14:val="standard"/>
        </w:rPr>
        <w:t>doi</w:t>
      </w:r>
      <w:proofErr w:type="spellEnd"/>
      <w:r w:rsidRPr="00C20FCB">
        <w:rPr>
          <w14:ligatures w14:val="standard"/>
        </w:rPr>
        <w:t xml:space="preserve">: </w:t>
      </w:r>
      <w:hyperlink r:id="rId23" w:history="1">
        <w:r w:rsidRPr="00C20FCB">
          <w:rPr>
            <w:rStyle w:val="Hyperlink"/>
            <w14:ligatures w14:val="standard"/>
          </w:rPr>
          <w:t>10.1080/713756671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[6]</w:t>
      </w:r>
    </w:p>
    <w:p w:rsidR="00C20FCB" w:rsidRPr="00C20FCB" w:rsidRDefault="00C20FCB" w:rsidP="00C20FCB">
      <w:pPr>
        <w:pStyle w:val="Bibentry"/>
        <w:rPr>
          <w14:ligatures w14:val="standard"/>
        </w:rPr>
      </w:pPr>
      <w:r w:rsidRPr="00C20FCB">
        <w:rPr>
          <w14:ligatures w14:val="standard"/>
        </w:rPr>
        <w:t xml:space="preserve">J. K. Hietanen, “Does your gaze direction and head orientation shift my visual attention?:,” </w:t>
      </w:r>
      <w:proofErr w:type="spellStart"/>
      <w:r w:rsidRPr="00C20FCB">
        <w:rPr>
          <w:i/>
          <w:iCs/>
          <w14:ligatures w14:val="standard"/>
        </w:rPr>
        <w:t>NeuroReport</w:t>
      </w:r>
      <w:proofErr w:type="spellEnd"/>
      <w:r w:rsidRPr="00C20FCB">
        <w:rPr>
          <w14:ligatures w14:val="standard"/>
        </w:rPr>
        <w:t xml:space="preserve">, vol. 10, no. 16, pp. 3443–3447, Nov. 1999, </w:t>
      </w:r>
      <w:proofErr w:type="spellStart"/>
      <w:r w:rsidRPr="00C20FCB">
        <w:rPr>
          <w14:ligatures w14:val="standard"/>
        </w:rPr>
        <w:t>doi</w:t>
      </w:r>
      <w:proofErr w:type="spellEnd"/>
      <w:r w:rsidRPr="00C20FCB">
        <w:rPr>
          <w14:ligatures w14:val="standard"/>
        </w:rPr>
        <w:t xml:space="preserve">: </w:t>
      </w:r>
      <w:hyperlink r:id="rId24" w:history="1">
        <w:r w:rsidRPr="00C20FCB">
          <w:rPr>
            <w:rStyle w:val="Hyperlink"/>
            <w14:ligatures w14:val="standard"/>
          </w:rPr>
          <w:t>10.1097/00001756-199911080-00033</w:t>
        </w:r>
      </w:hyperlink>
      <w:r w:rsidRPr="00C20FCB">
        <w:rPr>
          <w14:ligatures w14:val="standard"/>
        </w:rPr>
        <w:t>.</w:t>
      </w:r>
    </w:p>
    <w:p w:rsidR="00C20FCB" w:rsidRPr="00C20FCB" w:rsidRDefault="00C20FCB" w:rsidP="00C20FCB">
      <w:pPr>
        <w:pStyle w:val="Bibentry"/>
        <w:rPr>
          <w:lang w:val="de-DE"/>
          <w14:ligatures w14:val="standard"/>
        </w:rPr>
      </w:pPr>
      <w:r w:rsidRPr="00C20FCB">
        <w:rPr>
          <w:lang w:val="de-DE"/>
          <w14:ligatures w14:val="standard"/>
        </w:rPr>
        <w:t>[7]</w:t>
      </w:r>
    </w:p>
    <w:p w:rsidR="00C20FCB" w:rsidRPr="00C20FCB" w:rsidRDefault="00C20FCB" w:rsidP="00C20FCB">
      <w:pPr>
        <w:pStyle w:val="Bibentry"/>
        <w:rPr>
          <w14:ligatures w14:val="standard"/>
        </w:rPr>
      </w:pPr>
      <w:r w:rsidRPr="00C20FCB">
        <w:rPr>
          <w:lang w:val="de-DE"/>
          <w14:ligatures w14:val="standard"/>
        </w:rPr>
        <w:t xml:space="preserve">W. Schneider, A. </w:t>
      </w:r>
      <w:proofErr w:type="spellStart"/>
      <w:r w:rsidRPr="00C20FCB">
        <w:rPr>
          <w:lang w:val="de-DE"/>
          <w14:ligatures w14:val="standard"/>
        </w:rPr>
        <w:t>Eschman</w:t>
      </w:r>
      <w:proofErr w:type="spellEnd"/>
      <w:r w:rsidRPr="00C20FCB">
        <w:rPr>
          <w:lang w:val="de-DE"/>
          <w14:ligatures w14:val="standard"/>
        </w:rPr>
        <w:t xml:space="preserve">, and A. </w:t>
      </w:r>
      <w:proofErr w:type="spellStart"/>
      <w:r w:rsidRPr="00C20FCB">
        <w:rPr>
          <w:lang w:val="de-DE"/>
          <w14:ligatures w14:val="standard"/>
        </w:rPr>
        <w:t>Zuccolotto</w:t>
      </w:r>
      <w:proofErr w:type="spellEnd"/>
      <w:r w:rsidRPr="00C20FCB">
        <w:rPr>
          <w:lang w:val="de-DE"/>
          <w14:ligatures w14:val="standard"/>
        </w:rPr>
        <w:t xml:space="preserve">, </w:t>
      </w:r>
      <w:r w:rsidRPr="00C20FCB">
        <w:rPr>
          <w:i/>
          <w:iCs/>
          <w:lang w:val="de-DE"/>
          <w14:ligatures w14:val="standard"/>
        </w:rPr>
        <w:t>E-Prime</w:t>
      </w:r>
      <w:r w:rsidRPr="00C20FCB">
        <w:rPr>
          <w:lang w:val="de-DE"/>
          <w14:ligatures w14:val="standard"/>
        </w:rPr>
        <w:t xml:space="preserve">. </w:t>
      </w:r>
      <w:r w:rsidRPr="00C20FCB">
        <w:rPr>
          <w14:ligatures w14:val="standard"/>
        </w:rPr>
        <w:t>(2002). Psychology Software Tools Inc., Pittsburgh, PA:</w:t>
      </w:r>
    </w:p>
    <w:p w:rsidR="00C20FCB" w:rsidRPr="00C20FCB" w:rsidRDefault="00C20FCB" w:rsidP="00C20FCB">
      <w:pPr>
        <w:pStyle w:val="Bibentry"/>
        <w:rPr>
          <w14:ligatures w14:val="standard"/>
        </w:rPr>
      </w:pPr>
      <w:r w:rsidRPr="00C20FCB">
        <w:rPr>
          <w14:ligatures w14:val="standard"/>
        </w:rPr>
        <w:t>[8]</w:t>
      </w:r>
    </w:p>
    <w:p w:rsidR="00C20FCB" w:rsidRPr="00C20FCB" w:rsidRDefault="00C20FCB" w:rsidP="00C20FCB">
      <w:pPr>
        <w:pStyle w:val="Bibentry"/>
        <w:rPr>
          <w14:ligatures w14:val="standard"/>
        </w:rPr>
      </w:pPr>
      <w:r w:rsidRPr="00C20FCB">
        <w:rPr>
          <w14:ligatures w14:val="standard"/>
        </w:rPr>
        <w:t xml:space="preserve">James W. Moore </w:t>
      </w:r>
      <w:r w:rsidRPr="00C20FCB">
        <w:rPr>
          <w:i/>
          <w:iCs/>
          <w14:ligatures w14:val="standard"/>
        </w:rPr>
        <w:t>et al.</w:t>
      </w:r>
      <w:r w:rsidRPr="00C20FCB">
        <w:rPr>
          <w14:ligatures w14:val="standard"/>
        </w:rPr>
        <w:t xml:space="preserve">, “Exploring implicit and explicit aspects of sense of agency.,” </w:t>
      </w:r>
      <w:r w:rsidRPr="00C20FCB">
        <w:rPr>
          <w:i/>
          <w:iCs/>
          <w14:ligatures w14:val="standard"/>
        </w:rPr>
        <w:t>Consciousness and Cognition</w:t>
      </w:r>
      <w:r w:rsidRPr="00C20FCB">
        <w:rPr>
          <w14:ligatures w14:val="standard"/>
        </w:rPr>
        <w:t xml:space="preserve">, vol. 21, no. 4, pp. 1748–1753, Dec. 2012, </w:t>
      </w:r>
      <w:proofErr w:type="spellStart"/>
      <w:r w:rsidRPr="00C20FCB">
        <w:rPr>
          <w14:ligatures w14:val="standard"/>
        </w:rPr>
        <w:t>doi</w:t>
      </w:r>
      <w:proofErr w:type="spellEnd"/>
      <w:r w:rsidRPr="00C20FCB">
        <w:rPr>
          <w14:ligatures w14:val="standard"/>
        </w:rPr>
        <w:t xml:space="preserve">: </w:t>
      </w:r>
      <w:hyperlink r:id="rId25" w:history="1">
        <w:r w:rsidRPr="00C20FCB">
          <w:rPr>
            <w:rStyle w:val="Hyperlink"/>
            <w14:ligatures w14:val="standard"/>
          </w:rPr>
          <w:t>10.1016/j.concog.2012.10.005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[9]</w:t>
      </w:r>
    </w:p>
    <w:p w:rsidR="00C20FCB" w:rsidRPr="00C20FCB" w:rsidRDefault="00C20FCB" w:rsidP="00C20FCB">
      <w:pPr>
        <w:pStyle w:val="Bibentry"/>
        <w:rPr>
          <w14:ligatures w14:val="standard"/>
        </w:rPr>
      </w:pPr>
      <w:r w:rsidRPr="00C20FCB">
        <w:rPr>
          <w14:ligatures w14:val="standard"/>
        </w:rPr>
        <w:t xml:space="preserve">J. Gutzeit, L. Weller, F. Muth, J. </w:t>
      </w:r>
      <w:proofErr w:type="spellStart"/>
      <w:r w:rsidRPr="00C20FCB">
        <w:rPr>
          <w14:ligatures w14:val="standard"/>
        </w:rPr>
        <w:t>Kürten</w:t>
      </w:r>
      <w:proofErr w:type="spellEnd"/>
      <w:r w:rsidRPr="00C20FCB">
        <w:rPr>
          <w14:ligatures w14:val="standard"/>
        </w:rPr>
        <w:t xml:space="preserve">, and L. </w:t>
      </w:r>
      <w:proofErr w:type="spellStart"/>
      <w:r w:rsidRPr="00C20FCB">
        <w:rPr>
          <w14:ligatures w14:val="standard"/>
        </w:rPr>
        <w:t>Huestegge</w:t>
      </w:r>
      <w:proofErr w:type="spellEnd"/>
      <w:r w:rsidRPr="00C20FCB">
        <w:rPr>
          <w14:ligatures w14:val="standard"/>
        </w:rPr>
        <w:t xml:space="preserve">, “Eye did this! Sense of agency in eye movements,” </w:t>
      </w:r>
      <w:r w:rsidRPr="00C20FCB">
        <w:rPr>
          <w:i/>
          <w:iCs/>
          <w14:ligatures w14:val="standard"/>
        </w:rPr>
        <w:t xml:space="preserve">Acta </w:t>
      </w:r>
      <w:proofErr w:type="spellStart"/>
      <w:r w:rsidRPr="00C20FCB">
        <w:rPr>
          <w:i/>
          <w:iCs/>
          <w14:ligatures w14:val="standard"/>
        </w:rPr>
        <w:t>Psychologica</w:t>
      </w:r>
      <w:proofErr w:type="spellEnd"/>
      <w:r w:rsidRPr="00C20FCB">
        <w:rPr>
          <w14:ligatures w14:val="standard"/>
        </w:rPr>
        <w:t xml:space="preserve">, vol. 243, p. 104121, Mar. 2024, </w:t>
      </w:r>
      <w:proofErr w:type="spellStart"/>
      <w:r w:rsidRPr="00C20FCB">
        <w:rPr>
          <w14:ligatures w14:val="standard"/>
        </w:rPr>
        <w:t>doi</w:t>
      </w:r>
      <w:proofErr w:type="spellEnd"/>
      <w:r w:rsidRPr="00C20FCB">
        <w:rPr>
          <w14:ligatures w14:val="standard"/>
        </w:rPr>
        <w:t xml:space="preserve">: </w:t>
      </w:r>
      <w:hyperlink r:id="rId26" w:history="1">
        <w:r w:rsidRPr="00C20FCB">
          <w:rPr>
            <w:rStyle w:val="Hyperlink"/>
            <w14:ligatures w14:val="standard"/>
          </w:rPr>
          <w:t>10.1016/j.actpsy.2023.104121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[10]</w:t>
      </w:r>
    </w:p>
    <w:p w:rsidR="00C20FCB" w:rsidRPr="00C20FCB" w:rsidRDefault="00C20FCB" w:rsidP="00C20FCB">
      <w:pPr>
        <w:pStyle w:val="Bibentry"/>
        <w:rPr>
          <w14:ligatures w14:val="standard"/>
        </w:rPr>
      </w:pPr>
      <w:r w:rsidRPr="00C20FCB">
        <w:rPr>
          <w14:ligatures w14:val="standard"/>
        </w:rPr>
        <w:t xml:space="preserve">L. J. Stephenson, S. G. Edwards, E. E. Howard, and A. P. Bayliss, “Eyes that bind us: Gaze leading induces an implicit sense of agency,” </w:t>
      </w:r>
      <w:r w:rsidRPr="00C20FCB">
        <w:rPr>
          <w:i/>
          <w:iCs/>
          <w14:ligatures w14:val="standard"/>
        </w:rPr>
        <w:t>Cognition</w:t>
      </w:r>
      <w:r w:rsidRPr="00C20FCB">
        <w:rPr>
          <w14:ligatures w14:val="standard"/>
        </w:rPr>
        <w:t xml:space="preserve">, vol. 172, pp. 124–133, Mar. 2018, </w:t>
      </w:r>
      <w:proofErr w:type="spellStart"/>
      <w:r w:rsidRPr="00C20FCB">
        <w:rPr>
          <w14:ligatures w14:val="standard"/>
        </w:rPr>
        <w:t>doi</w:t>
      </w:r>
      <w:proofErr w:type="spellEnd"/>
      <w:r w:rsidRPr="00C20FCB">
        <w:rPr>
          <w14:ligatures w14:val="standard"/>
        </w:rPr>
        <w:t xml:space="preserve">: </w:t>
      </w:r>
      <w:hyperlink r:id="rId27" w:history="1">
        <w:r w:rsidRPr="00C20FCB">
          <w:rPr>
            <w:rStyle w:val="Hyperlink"/>
            <w14:ligatures w14:val="standard"/>
          </w:rPr>
          <w:t>10.1016/j.cognition.2017.12.011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[11]</w:t>
      </w:r>
    </w:p>
    <w:p w:rsidR="00C20FCB" w:rsidRPr="00C20FCB" w:rsidRDefault="00C20FCB" w:rsidP="00C20FCB">
      <w:pPr>
        <w:pStyle w:val="Bibentry"/>
        <w:rPr>
          <w14:ligatures w14:val="standard"/>
        </w:rPr>
      </w:pPr>
      <w:proofErr w:type="spellStart"/>
      <w:r w:rsidRPr="00C20FCB">
        <w:rPr>
          <w:i/>
          <w:iCs/>
          <w14:ligatures w14:val="standard"/>
        </w:rPr>
        <w:t>FaceGen</w:t>
      </w:r>
      <w:proofErr w:type="spellEnd"/>
      <w:r w:rsidRPr="00C20FCB">
        <w:rPr>
          <w14:ligatures w14:val="standard"/>
        </w:rPr>
        <w:t>.</w:t>
      </w:r>
    </w:p>
    <w:p w:rsidR="00C20FCB" w:rsidRPr="00C20FCB" w:rsidRDefault="00C20FCB" w:rsidP="00C20FCB">
      <w:pPr>
        <w:pStyle w:val="Bibentry"/>
        <w:rPr>
          <w14:ligatures w14:val="standard"/>
        </w:rPr>
      </w:pPr>
      <w:r w:rsidRPr="00C20FCB">
        <w:rPr>
          <w14:ligatures w14:val="standard"/>
        </w:rPr>
        <w:t>[12]</w:t>
      </w:r>
    </w:p>
    <w:p w:rsidR="00C20FCB" w:rsidRPr="00C20FCB" w:rsidRDefault="00C20FCB" w:rsidP="00C20FCB">
      <w:pPr>
        <w:pStyle w:val="Bibentry"/>
        <w:rPr>
          <w14:ligatures w14:val="standard"/>
        </w:rPr>
      </w:pPr>
      <w:r w:rsidRPr="00C20FCB">
        <w:rPr>
          <w14:ligatures w14:val="standard"/>
        </w:rPr>
        <w:t xml:space="preserve">F. Faul, E. </w:t>
      </w:r>
      <w:proofErr w:type="spellStart"/>
      <w:r w:rsidRPr="00C20FCB">
        <w:rPr>
          <w14:ligatures w14:val="standard"/>
        </w:rPr>
        <w:t>Erdfelder</w:t>
      </w:r>
      <w:proofErr w:type="spellEnd"/>
      <w:r w:rsidRPr="00C20FCB">
        <w:rPr>
          <w14:ligatures w14:val="standard"/>
        </w:rPr>
        <w:t xml:space="preserve">, A.-G. Lang, and A. Buchner, “G*Power 3: A flexible statistical power analysis program for the social, behavioral, and biomedical sciences,” </w:t>
      </w:r>
      <w:r w:rsidRPr="00C20FCB">
        <w:rPr>
          <w:i/>
          <w:iCs/>
          <w14:ligatures w14:val="standard"/>
        </w:rPr>
        <w:t>Behavior Research Methods</w:t>
      </w:r>
      <w:r w:rsidRPr="00C20FCB">
        <w:rPr>
          <w14:ligatures w14:val="standard"/>
        </w:rPr>
        <w:t xml:space="preserve">, vol. 39, no. 2, pp. 175–191, May 2007, </w:t>
      </w:r>
      <w:proofErr w:type="spellStart"/>
      <w:r w:rsidRPr="00C20FCB">
        <w:rPr>
          <w14:ligatures w14:val="standard"/>
        </w:rPr>
        <w:t>doi</w:t>
      </w:r>
      <w:proofErr w:type="spellEnd"/>
      <w:r w:rsidRPr="00C20FCB">
        <w:rPr>
          <w14:ligatures w14:val="standard"/>
        </w:rPr>
        <w:t xml:space="preserve">: </w:t>
      </w:r>
      <w:hyperlink r:id="rId28" w:history="1">
        <w:r w:rsidRPr="00C20FCB">
          <w:rPr>
            <w:rStyle w:val="Hyperlink"/>
            <w14:ligatures w14:val="standard"/>
          </w:rPr>
          <w:t>10.3758/BF03193146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[13]</w:t>
      </w:r>
    </w:p>
    <w:p w:rsidR="00C20FCB" w:rsidRPr="00C20FCB" w:rsidRDefault="00C20FCB" w:rsidP="00C20FCB">
      <w:pPr>
        <w:pStyle w:val="Bibentry"/>
        <w:rPr>
          <w14:ligatures w14:val="standard"/>
        </w:rPr>
      </w:pPr>
      <w:r w:rsidRPr="00C20FCB">
        <w:rPr>
          <w14:ligatures w14:val="standard"/>
        </w:rPr>
        <w:t xml:space="preserve">J. Driver, G. Davis, P. Ricciardelli, P. Kidd, E. Maxwell, and S. Baron-Cohen, “Gaze Perception Triggers Reflexive Visuospatial Orienting,” </w:t>
      </w:r>
      <w:r w:rsidRPr="00C20FCB">
        <w:rPr>
          <w:i/>
          <w:iCs/>
          <w14:ligatures w14:val="standard"/>
        </w:rPr>
        <w:t>Visual Cognition</w:t>
      </w:r>
      <w:r w:rsidRPr="00C20FCB">
        <w:rPr>
          <w14:ligatures w14:val="standard"/>
        </w:rPr>
        <w:t xml:space="preserve">, vol. 6, no. 5, pp. 509–540, Oct. 1999, </w:t>
      </w:r>
      <w:proofErr w:type="spellStart"/>
      <w:r w:rsidRPr="00C20FCB">
        <w:rPr>
          <w14:ligatures w14:val="standard"/>
        </w:rPr>
        <w:t>doi</w:t>
      </w:r>
      <w:proofErr w:type="spellEnd"/>
      <w:r w:rsidRPr="00C20FCB">
        <w:rPr>
          <w14:ligatures w14:val="standard"/>
        </w:rPr>
        <w:t xml:space="preserve">: </w:t>
      </w:r>
      <w:hyperlink r:id="rId29" w:history="1">
        <w:r w:rsidRPr="00C20FCB">
          <w:rPr>
            <w:rStyle w:val="Hyperlink"/>
            <w14:ligatures w14:val="standard"/>
          </w:rPr>
          <w:t>10.1080/135062899394920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[14]</w:t>
      </w:r>
    </w:p>
    <w:p w:rsidR="00C20FCB" w:rsidRPr="00C20FCB" w:rsidRDefault="00C20FCB" w:rsidP="00C20FCB">
      <w:pPr>
        <w:pStyle w:val="Bibentry"/>
        <w:rPr>
          <w14:ligatures w14:val="standard"/>
        </w:rPr>
      </w:pPr>
      <w:r w:rsidRPr="00C20FCB">
        <w:rPr>
          <w14:ligatures w14:val="standard"/>
        </w:rPr>
        <w:t xml:space="preserve">A. Janyan, Y. Shtyrov, E. </w:t>
      </w:r>
      <w:proofErr w:type="spellStart"/>
      <w:r w:rsidRPr="00C20FCB">
        <w:rPr>
          <w14:ligatures w14:val="standard"/>
        </w:rPr>
        <w:t>Andriushchenko</w:t>
      </w:r>
      <w:proofErr w:type="spellEnd"/>
      <w:r w:rsidRPr="00C20FCB">
        <w:rPr>
          <w14:ligatures w14:val="standard"/>
        </w:rPr>
        <w:t xml:space="preserve">, E. Blinova, and O. Shcherbakova, “Look and ye shall hear: Selective auditory attention modulates the audiovisual correspondence effect,” </w:t>
      </w:r>
      <w:proofErr w:type="spellStart"/>
      <w:r w:rsidRPr="00C20FCB">
        <w:rPr>
          <w:i/>
          <w:iCs/>
          <w14:ligatures w14:val="standard"/>
        </w:rPr>
        <w:t>i</w:t>
      </w:r>
      <w:proofErr w:type="spellEnd"/>
      <w:r w:rsidRPr="00C20FCB">
        <w:rPr>
          <w:i/>
          <w:iCs/>
          <w14:ligatures w14:val="standard"/>
        </w:rPr>
        <w:t>-Perception</w:t>
      </w:r>
      <w:r w:rsidRPr="00C20FCB">
        <w:rPr>
          <w14:ligatures w14:val="standard"/>
        </w:rPr>
        <w:t xml:space="preserve">, vol. 13, no. 3, p. 20416695221095884, May 2022, </w:t>
      </w:r>
      <w:proofErr w:type="spellStart"/>
      <w:r w:rsidRPr="00C20FCB">
        <w:rPr>
          <w14:ligatures w14:val="standard"/>
        </w:rPr>
        <w:t>doi</w:t>
      </w:r>
      <w:proofErr w:type="spellEnd"/>
      <w:r w:rsidRPr="00C20FCB">
        <w:rPr>
          <w14:ligatures w14:val="standard"/>
        </w:rPr>
        <w:t xml:space="preserve">: </w:t>
      </w:r>
      <w:hyperlink r:id="rId30" w:history="1">
        <w:r w:rsidRPr="00C20FCB">
          <w:rPr>
            <w:rStyle w:val="Hyperlink"/>
            <w14:ligatures w14:val="standard"/>
          </w:rPr>
          <w:t>10.1177/20416695221095884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[15]</w:t>
      </w:r>
    </w:p>
    <w:p w:rsidR="00C20FCB" w:rsidRPr="00C20FCB" w:rsidRDefault="00C20FCB" w:rsidP="00C20FCB">
      <w:pPr>
        <w:pStyle w:val="Bibentry"/>
        <w:rPr>
          <w14:ligatures w14:val="standard"/>
        </w:rPr>
      </w:pPr>
      <w:r w:rsidRPr="00C20FCB">
        <w:rPr>
          <w14:ligatures w14:val="standard"/>
        </w:rPr>
        <w:t xml:space="preserve">S. Baron-Cohen, </w:t>
      </w:r>
      <w:proofErr w:type="spellStart"/>
      <w:r w:rsidRPr="00C20FCB">
        <w:rPr>
          <w:i/>
          <w:iCs/>
          <w14:ligatures w14:val="standard"/>
        </w:rPr>
        <w:t>Mindblindness</w:t>
      </w:r>
      <w:proofErr w:type="spellEnd"/>
      <w:r w:rsidRPr="00C20FCB">
        <w:rPr>
          <w:i/>
          <w:iCs/>
          <w14:ligatures w14:val="standard"/>
        </w:rPr>
        <w:t>: An Essay on Autism and Theory of Mind</w:t>
      </w:r>
      <w:r w:rsidRPr="00C20FCB">
        <w:rPr>
          <w14:ligatures w14:val="standard"/>
        </w:rPr>
        <w:t xml:space="preserve">. The MIT Press, 1995. </w:t>
      </w:r>
      <w:proofErr w:type="spellStart"/>
      <w:r w:rsidRPr="00C20FCB">
        <w:rPr>
          <w14:ligatures w14:val="standard"/>
        </w:rPr>
        <w:t>doi</w:t>
      </w:r>
      <w:proofErr w:type="spellEnd"/>
      <w:r w:rsidRPr="00C20FCB">
        <w:rPr>
          <w14:ligatures w14:val="standard"/>
        </w:rPr>
        <w:t xml:space="preserve">: </w:t>
      </w:r>
      <w:hyperlink r:id="rId31" w:history="1">
        <w:r w:rsidRPr="00C20FCB">
          <w:rPr>
            <w:rStyle w:val="Hyperlink"/>
            <w14:ligatures w14:val="standard"/>
          </w:rPr>
          <w:t>10.7551/</w:t>
        </w:r>
        <w:proofErr w:type="spellStart"/>
        <w:r w:rsidRPr="00C20FCB">
          <w:rPr>
            <w:rStyle w:val="Hyperlink"/>
            <w14:ligatures w14:val="standard"/>
          </w:rPr>
          <w:t>mitpress</w:t>
        </w:r>
        <w:proofErr w:type="spellEnd"/>
        <w:r w:rsidRPr="00C20FCB">
          <w:rPr>
            <w:rStyle w:val="Hyperlink"/>
            <w14:ligatures w14:val="standard"/>
          </w:rPr>
          <w:t>/4635.001.0001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[16]</w:t>
      </w:r>
    </w:p>
    <w:p w:rsidR="00C20FCB" w:rsidRPr="00C20FCB" w:rsidRDefault="00C20FCB" w:rsidP="00C20FCB">
      <w:pPr>
        <w:pStyle w:val="Bibentry"/>
        <w:rPr>
          <w14:ligatures w14:val="standard"/>
        </w:rPr>
      </w:pPr>
      <w:r w:rsidRPr="00C20FCB">
        <w:rPr>
          <w14:ligatures w14:val="standard"/>
        </w:rPr>
        <w:t xml:space="preserve">D. M. Wolpert and M. </w:t>
      </w:r>
      <w:proofErr w:type="spellStart"/>
      <w:r w:rsidRPr="00C20FCB">
        <w:rPr>
          <w14:ligatures w14:val="standard"/>
        </w:rPr>
        <w:t>Kawato</w:t>
      </w:r>
      <w:proofErr w:type="spellEnd"/>
      <w:r w:rsidRPr="00C20FCB">
        <w:rPr>
          <w14:ligatures w14:val="standard"/>
        </w:rPr>
        <w:t xml:space="preserve">, “Multiple paired forward and inverse models for motor control,” </w:t>
      </w:r>
      <w:r w:rsidRPr="00C20FCB">
        <w:rPr>
          <w:i/>
          <w:iCs/>
          <w14:ligatures w14:val="standard"/>
        </w:rPr>
        <w:t>Neural Networks</w:t>
      </w:r>
      <w:r w:rsidRPr="00C20FCB">
        <w:rPr>
          <w14:ligatures w14:val="standard"/>
        </w:rPr>
        <w:t xml:space="preserve">, vol. 11, no. 7–8, pp. 1317–1329, Oct. 1998, </w:t>
      </w:r>
      <w:proofErr w:type="spellStart"/>
      <w:r w:rsidRPr="00C20FCB">
        <w:rPr>
          <w14:ligatures w14:val="standard"/>
        </w:rPr>
        <w:t>doi</w:t>
      </w:r>
      <w:proofErr w:type="spellEnd"/>
      <w:r w:rsidRPr="00C20FCB">
        <w:rPr>
          <w14:ligatures w14:val="standard"/>
        </w:rPr>
        <w:t xml:space="preserve">: </w:t>
      </w:r>
      <w:hyperlink r:id="rId32" w:history="1">
        <w:r w:rsidRPr="00C20FCB">
          <w:rPr>
            <w:rStyle w:val="Hyperlink"/>
            <w14:ligatures w14:val="standard"/>
          </w:rPr>
          <w:t>10.1016/S0893-6080(98)00066-5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[17]</w:t>
      </w:r>
    </w:p>
    <w:p w:rsidR="00C20FCB" w:rsidRPr="00C20FCB" w:rsidRDefault="00C20FCB" w:rsidP="00C20FCB">
      <w:pPr>
        <w:pStyle w:val="Bibentry"/>
        <w:rPr>
          <w14:ligatures w14:val="standard"/>
        </w:rPr>
      </w:pPr>
      <w:r w:rsidRPr="00C20FCB">
        <w:rPr>
          <w14:ligatures w14:val="standard"/>
        </w:rPr>
        <w:t xml:space="preserve">M. I. Posner, “Orienting of Attention,” </w:t>
      </w:r>
      <w:r w:rsidRPr="00C20FCB">
        <w:rPr>
          <w:i/>
          <w:iCs/>
          <w14:ligatures w14:val="standard"/>
        </w:rPr>
        <w:t>Quarterly Journal of Experimental Psychology</w:t>
      </w:r>
      <w:r w:rsidRPr="00C20FCB">
        <w:rPr>
          <w14:ligatures w14:val="standard"/>
        </w:rPr>
        <w:t xml:space="preserve">, vol. 32, no. 1, pp. 3–25, Feb. 1980, </w:t>
      </w:r>
      <w:proofErr w:type="spellStart"/>
      <w:r w:rsidRPr="00C20FCB">
        <w:rPr>
          <w14:ligatures w14:val="standard"/>
        </w:rPr>
        <w:t>doi</w:t>
      </w:r>
      <w:proofErr w:type="spellEnd"/>
      <w:r w:rsidRPr="00C20FCB">
        <w:rPr>
          <w14:ligatures w14:val="standard"/>
        </w:rPr>
        <w:t xml:space="preserve">: </w:t>
      </w:r>
      <w:hyperlink r:id="rId33" w:history="1">
        <w:r w:rsidRPr="00C20FCB">
          <w:rPr>
            <w:rStyle w:val="Hyperlink"/>
            <w14:ligatures w14:val="standard"/>
          </w:rPr>
          <w:t>10.1080/00335558008248231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[18]</w:t>
      </w:r>
    </w:p>
    <w:p w:rsidR="00C20FCB" w:rsidRPr="00C20FCB" w:rsidRDefault="00C20FCB" w:rsidP="00C20FCB">
      <w:pPr>
        <w:pStyle w:val="Bibentry"/>
        <w:rPr>
          <w14:ligatures w14:val="standard"/>
        </w:rPr>
      </w:pPr>
      <w:r w:rsidRPr="00C20FCB">
        <w:rPr>
          <w14:ligatures w14:val="standard"/>
        </w:rPr>
        <w:t xml:space="preserve">J.-R. Martin and E. </w:t>
      </w:r>
      <w:proofErr w:type="spellStart"/>
      <w:r w:rsidRPr="00C20FCB">
        <w:rPr>
          <w14:ligatures w14:val="standard"/>
        </w:rPr>
        <w:t>Pacherie</w:t>
      </w:r>
      <w:proofErr w:type="spellEnd"/>
      <w:r w:rsidRPr="00C20FCB">
        <w:rPr>
          <w14:ligatures w14:val="standard"/>
        </w:rPr>
        <w:t xml:space="preserve">, “Out of nowhere: Thought insertion, ownership and context-integration,” </w:t>
      </w:r>
      <w:r w:rsidRPr="00C20FCB">
        <w:rPr>
          <w:i/>
          <w:iCs/>
          <w14:ligatures w14:val="standard"/>
        </w:rPr>
        <w:t>Consciousness and Cognition</w:t>
      </w:r>
      <w:r w:rsidRPr="00C20FCB">
        <w:rPr>
          <w14:ligatures w14:val="standard"/>
        </w:rPr>
        <w:t xml:space="preserve">, vol. 22, no. 1, pp. 111–122, Mar. 2013, </w:t>
      </w:r>
      <w:proofErr w:type="spellStart"/>
      <w:r w:rsidRPr="00C20FCB">
        <w:rPr>
          <w14:ligatures w14:val="standard"/>
        </w:rPr>
        <w:t>doi</w:t>
      </w:r>
      <w:proofErr w:type="spellEnd"/>
      <w:r w:rsidRPr="00C20FCB">
        <w:rPr>
          <w14:ligatures w14:val="standard"/>
        </w:rPr>
        <w:t xml:space="preserve">: </w:t>
      </w:r>
      <w:hyperlink r:id="rId34" w:history="1">
        <w:r w:rsidRPr="00C20FCB">
          <w:rPr>
            <w:rStyle w:val="Hyperlink"/>
            <w14:ligatures w14:val="standard"/>
          </w:rPr>
          <w:t>10.1016/j.concog.2012.11.012</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[19]</w:t>
      </w:r>
    </w:p>
    <w:p w:rsidR="00C20FCB" w:rsidRPr="00C20FCB" w:rsidRDefault="00C20FCB" w:rsidP="00C20FCB">
      <w:pPr>
        <w:pStyle w:val="Bibentry"/>
        <w:rPr>
          <w14:ligatures w14:val="standard"/>
        </w:rPr>
      </w:pPr>
      <w:r w:rsidRPr="00C20FCB">
        <w:rPr>
          <w14:ligatures w14:val="standard"/>
        </w:rPr>
        <w:t xml:space="preserve">S. Gallagher, “Philosophical conceptions of the self: implications for cognitive science,” </w:t>
      </w:r>
      <w:r w:rsidRPr="00C20FCB">
        <w:rPr>
          <w:i/>
          <w:iCs/>
          <w14:ligatures w14:val="standard"/>
        </w:rPr>
        <w:t>Trends in Cognitive Sciences</w:t>
      </w:r>
      <w:r w:rsidRPr="00C20FCB">
        <w:rPr>
          <w14:ligatures w14:val="standard"/>
        </w:rPr>
        <w:t>, vol. 4, no. 1, pp. 14–21, 2000.</w:t>
      </w:r>
    </w:p>
    <w:p w:rsidR="00C20FCB" w:rsidRPr="00C20FCB" w:rsidRDefault="00C20FCB" w:rsidP="00C20FCB">
      <w:pPr>
        <w:pStyle w:val="Bibentry"/>
        <w:rPr>
          <w14:ligatures w14:val="standard"/>
        </w:rPr>
      </w:pPr>
      <w:r w:rsidRPr="00C20FCB">
        <w:rPr>
          <w14:ligatures w14:val="standard"/>
        </w:rPr>
        <w:t>[20]</w:t>
      </w:r>
    </w:p>
    <w:p w:rsidR="00C20FCB" w:rsidRPr="00C20FCB" w:rsidRDefault="00C20FCB" w:rsidP="00C20FCB">
      <w:pPr>
        <w:pStyle w:val="Bibentry"/>
        <w:rPr>
          <w14:ligatures w14:val="standard"/>
        </w:rPr>
      </w:pPr>
      <w:r w:rsidRPr="00C20FCB">
        <w:rPr>
          <w14:ligatures w14:val="standard"/>
        </w:rPr>
        <w:t xml:space="preserve">K. Friston, “Prediction, perception and agency,” </w:t>
      </w:r>
      <w:r w:rsidRPr="00C20FCB">
        <w:rPr>
          <w:i/>
          <w:iCs/>
          <w14:ligatures w14:val="standard"/>
        </w:rPr>
        <w:t>International Journal of Psychophysiology</w:t>
      </w:r>
      <w:r w:rsidRPr="00C20FCB">
        <w:rPr>
          <w14:ligatures w14:val="standard"/>
        </w:rPr>
        <w:t xml:space="preserve">, vol. 83, no. 2, pp. 248–252, Feb. 2012, </w:t>
      </w:r>
      <w:proofErr w:type="spellStart"/>
      <w:r w:rsidRPr="00C20FCB">
        <w:rPr>
          <w14:ligatures w14:val="standard"/>
        </w:rPr>
        <w:t>doi</w:t>
      </w:r>
      <w:proofErr w:type="spellEnd"/>
      <w:r w:rsidRPr="00C20FCB">
        <w:rPr>
          <w14:ligatures w14:val="standard"/>
        </w:rPr>
        <w:t xml:space="preserve">: </w:t>
      </w:r>
      <w:hyperlink r:id="rId35" w:history="1">
        <w:r w:rsidRPr="00C20FCB">
          <w:rPr>
            <w:rStyle w:val="Hyperlink"/>
            <w14:ligatures w14:val="standard"/>
          </w:rPr>
          <w:t>10.1016/j.ijpsycho.2011.11.014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[21]</w:t>
      </w:r>
    </w:p>
    <w:p w:rsidR="00C20FCB" w:rsidRPr="00C20FCB" w:rsidRDefault="00C20FCB" w:rsidP="00C20FCB">
      <w:pPr>
        <w:pStyle w:val="Bibentry"/>
        <w:rPr>
          <w14:ligatures w14:val="standard"/>
        </w:rPr>
      </w:pPr>
      <w:r w:rsidRPr="00C20FCB">
        <w:rPr>
          <w14:ligatures w14:val="standard"/>
        </w:rPr>
        <w:t xml:space="preserve">R. Matsunaka and K. Hiraki, “Rapid saccadic response with fearful gaze cue,” </w:t>
      </w:r>
      <w:proofErr w:type="spellStart"/>
      <w:r w:rsidRPr="00C20FCB">
        <w:rPr>
          <w:i/>
          <w:iCs/>
          <w14:ligatures w14:val="standard"/>
        </w:rPr>
        <w:t>PLoS</w:t>
      </w:r>
      <w:proofErr w:type="spellEnd"/>
      <w:r w:rsidRPr="00C20FCB">
        <w:rPr>
          <w:i/>
          <w:iCs/>
          <w14:ligatures w14:val="standard"/>
        </w:rPr>
        <w:t xml:space="preserve"> ONE</w:t>
      </w:r>
      <w:r w:rsidRPr="00C20FCB">
        <w:rPr>
          <w14:ligatures w14:val="standard"/>
        </w:rPr>
        <w:t xml:space="preserve">, vol. 14, no. 3, p. e0212450, Mar. 2019, </w:t>
      </w:r>
      <w:proofErr w:type="spellStart"/>
      <w:r w:rsidRPr="00C20FCB">
        <w:rPr>
          <w14:ligatures w14:val="standard"/>
        </w:rPr>
        <w:t>doi</w:t>
      </w:r>
      <w:proofErr w:type="spellEnd"/>
      <w:r w:rsidRPr="00C20FCB">
        <w:rPr>
          <w14:ligatures w14:val="standard"/>
        </w:rPr>
        <w:t xml:space="preserve">: </w:t>
      </w:r>
      <w:hyperlink r:id="rId36" w:history="1">
        <w:r w:rsidRPr="00C20FCB">
          <w:rPr>
            <w:rStyle w:val="Hyperlink"/>
            <w14:ligatures w14:val="standard"/>
          </w:rPr>
          <w:t>10.1371/journal.pone.0212450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lastRenderedPageBreak/>
        <w:t>[22]</w:t>
      </w:r>
    </w:p>
    <w:p w:rsidR="00C20FCB" w:rsidRPr="00C20FCB" w:rsidRDefault="00C20FCB" w:rsidP="00C20FCB">
      <w:pPr>
        <w:pStyle w:val="Bibentry"/>
        <w:rPr>
          <w14:ligatures w14:val="standard"/>
        </w:rPr>
      </w:pPr>
      <w:r w:rsidRPr="00C20FCB">
        <w:rPr>
          <w14:ligatures w14:val="standard"/>
        </w:rPr>
        <w:t xml:space="preserve">R. W. Proctor, J. D. Miles, and G. Baroni, “Reaction time distribution analysis of spatial correspondence effects,” </w:t>
      </w:r>
      <w:proofErr w:type="spellStart"/>
      <w:r w:rsidRPr="00C20FCB">
        <w:rPr>
          <w:i/>
          <w:iCs/>
          <w14:ligatures w14:val="standard"/>
        </w:rPr>
        <w:t>Psychon</w:t>
      </w:r>
      <w:proofErr w:type="spellEnd"/>
      <w:r w:rsidRPr="00C20FCB">
        <w:rPr>
          <w:i/>
          <w:iCs/>
          <w14:ligatures w14:val="standard"/>
        </w:rPr>
        <w:t xml:space="preserve"> Bull Rev</w:t>
      </w:r>
      <w:r w:rsidRPr="00C20FCB">
        <w:rPr>
          <w14:ligatures w14:val="standard"/>
        </w:rPr>
        <w:t xml:space="preserve">, vol. 18, no. 2, pp. 242–266, Apr. 2011, </w:t>
      </w:r>
      <w:proofErr w:type="spellStart"/>
      <w:r w:rsidRPr="00C20FCB">
        <w:rPr>
          <w14:ligatures w14:val="standard"/>
        </w:rPr>
        <w:t>doi</w:t>
      </w:r>
      <w:proofErr w:type="spellEnd"/>
      <w:r w:rsidRPr="00C20FCB">
        <w:rPr>
          <w14:ligatures w14:val="standard"/>
        </w:rPr>
        <w:t xml:space="preserve">: </w:t>
      </w:r>
      <w:hyperlink r:id="rId37" w:history="1">
        <w:r w:rsidRPr="00C20FCB">
          <w:rPr>
            <w:rStyle w:val="Hyperlink"/>
            <w14:ligatures w14:val="standard"/>
          </w:rPr>
          <w:t>10.3758/s13423-011-0053-5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[23]</w:t>
      </w:r>
    </w:p>
    <w:p w:rsidR="00C20FCB" w:rsidRPr="00C20FCB" w:rsidRDefault="00C20FCB" w:rsidP="00C20FCB">
      <w:pPr>
        <w:pStyle w:val="Bibentry"/>
        <w:rPr>
          <w14:ligatures w14:val="standard"/>
        </w:rPr>
      </w:pPr>
      <w:r w:rsidRPr="00C20FCB">
        <w:rPr>
          <w14:ligatures w14:val="standard"/>
        </w:rPr>
        <w:t xml:space="preserve">S. R. H. Langton and V. Bruce, “Reflexive Visual Orienting in Response to the Social Attention of Others,” </w:t>
      </w:r>
      <w:r w:rsidRPr="00C20FCB">
        <w:rPr>
          <w:i/>
          <w:iCs/>
          <w14:ligatures w14:val="standard"/>
        </w:rPr>
        <w:t>Visual Cognition</w:t>
      </w:r>
      <w:r w:rsidRPr="00C20FCB">
        <w:rPr>
          <w14:ligatures w14:val="standard"/>
        </w:rPr>
        <w:t xml:space="preserve">, vol. 6, no. 5, pp. 541–567, Oct. 1999, </w:t>
      </w:r>
      <w:proofErr w:type="spellStart"/>
      <w:r w:rsidRPr="00C20FCB">
        <w:rPr>
          <w14:ligatures w14:val="standard"/>
        </w:rPr>
        <w:t>doi</w:t>
      </w:r>
      <w:proofErr w:type="spellEnd"/>
      <w:r w:rsidRPr="00C20FCB">
        <w:rPr>
          <w14:ligatures w14:val="standard"/>
        </w:rPr>
        <w:t xml:space="preserve">: </w:t>
      </w:r>
      <w:hyperlink r:id="rId38" w:history="1">
        <w:r w:rsidRPr="00C20FCB">
          <w:rPr>
            <w:rStyle w:val="Hyperlink"/>
            <w14:ligatures w14:val="standard"/>
          </w:rPr>
          <w:t>10.1080/135062899394939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[24]</w:t>
      </w:r>
    </w:p>
    <w:p w:rsidR="00C20FCB" w:rsidRPr="00C20FCB" w:rsidRDefault="00C20FCB" w:rsidP="00C20FCB">
      <w:pPr>
        <w:pStyle w:val="Bibentry"/>
        <w:rPr>
          <w14:ligatures w14:val="standard"/>
        </w:rPr>
      </w:pPr>
      <w:r w:rsidRPr="00C20FCB">
        <w:rPr>
          <w14:ligatures w14:val="standard"/>
        </w:rPr>
        <w:t xml:space="preserve">M. Dalmaso, L. Castelli, and G. Galfano, “Social modulators of gaze-mediated orienting of attention: A review,” </w:t>
      </w:r>
      <w:proofErr w:type="spellStart"/>
      <w:r w:rsidRPr="00C20FCB">
        <w:rPr>
          <w:i/>
          <w:iCs/>
          <w14:ligatures w14:val="standard"/>
        </w:rPr>
        <w:t>Psychon</w:t>
      </w:r>
      <w:proofErr w:type="spellEnd"/>
      <w:r w:rsidRPr="00C20FCB">
        <w:rPr>
          <w:i/>
          <w:iCs/>
          <w14:ligatures w14:val="standard"/>
        </w:rPr>
        <w:t xml:space="preserve"> Bull Rev</w:t>
      </w:r>
      <w:r w:rsidRPr="00C20FCB">
        <w:rPr>
          <w14:ligatures w14:val="standard"/>
        </w:rPr>
        <w:t xml:space="preserve">, vol. 27, no. 5, pp. 833–855, Oct. 2020, </w:t>
      </w:r>
      <w:proofErr w:type="spellStart"/>
      <w:r w:rsidRPr="00C20FCB">
        <w:rPr>
          <w14:ligatures w14:val="standard"/>
        </w:rPr>
        <w:t>doi</w:t>
      </w:r>
      <w:proofErr w:type="spellEnd"/>
      <w:r w:rsidRPr="00C20FCB">
        <w:rPr>
          <w14:ligatures w14:val="standard"/>
        </w:rPr>
        <w:t xml:space="preserve">: </w:t>
      </w:r>
      <w:hyperlink r:id="rId39" w:history="1">
        <w:r w:rsidRPr="00C20FCB">
          <w:rPr>
            <w:rStyle w:val="Hyperlink"/>
            <w14:ligatures w14:val="standard"/>
          </w:rPr>
          <w:t>10.3758/s13423-020-01730-x</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[25]</w:t>
      </w:r>
    </w:p>
    <w:p w:rsidR="00C20FCB" w:rsidRPr="00C20FCB" w:rsidRDefault="00C20FCB" w:rsidP="00C20FCB">
      <w:pPr>
        <w:pStyle w:val="Bibentry"/>
        <w:rPr>
          <w14:ligatures w14:val="standard"/>
        </w:rPr>
      </w:pPr>
      <w:r w:rsidRPr="00C20FCB">
        <w:rPr>
          <w14:ligatures w14:val="standard"/>
        </w:rPr>
        <w:t xml:space="preserve">D. Wenke, S. M. Fleming, and P. Haggard, “Subliminal priming of actions influences sense of control over effects of action,” </w:t>
      </w:r>
      <w:r w:rsidRPr="00C20FCB">
        <w:rPr>
          <w:i/>
          <w:iCs/>
          <w14:ligatures w14:val="standard"/>
        </w:rPr>
        <w:t>Cognition</w:t>
      </w:r>
      <w:r w:rsidRPr="00C20FCB">
        <w:rPr>
          <w14:ligatures w14:val="standard"/>
        </w:rPr>
        <w:t xml:space="preserve">, vol. 115, no. 1, pp. 26–38, Apr. 2010, </w:t>
      </w:r>
      <w:proofErr w:type="spellStart"/>
      <w:r w:rsidRPr="00C20FCB">
        <w:rPr>
          <w14:ligatures w14:val="standard"/>
        </w:rPr>
        <w:t>doi</w:t>
      </w:r>
      <w:proofErr w:type="spellEnd"/>
      <w:r w:rsidRPr="00C20FCB">
        <w:rPr>
          <w14:ligatures w14:val="standard"/>
        </w:rPr>
        <w:t xml:space="preserve">: </w:t>
      </w:r>
      <w:hyperlink r:id="rId40" w:history="1">
        <w:r w:rsidRPr="00C20FCB">
          <w:rPr>
            <w:rStyle w:val="Hyperlink"/>
            <w14:ligatures w14:val="standard"/>
          </w:rPr>
          <w:t>10.1016/j.cognition.2009.10.016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[26]</w:t>
      </w:r>
    </w:p>
    <w:p w:rsidR="00C20FCB" w:rsidRPr="00C20FCB" w:rsidRDefault="00C20FCB" w:rsidP="00C20FCB">
      <w:pPr>
        <w:pStyle w:val="Bibentry"/>
        <w:rPr>
          <w14:ligatures w14:val="standard"/>
        </w:rPr>
      </w:pPr>
      <w:r w:rsidRPr="00C20FCB">
        <w:rPr>
          <w14:ligatures w14:val="standard"/>
        </w:rPr>
        <w:t xml:space="preserve">P. Haggard and M. Tsakiris, “The Experience of Agency: Feelings, Judgments, and Responsibility,” </w:t>
      </w:r>
      <w:r w:rsidRPr="00C20FCB">
        <w:rPr>
          <w:i/>
          <w:iCs/>
          <w14:ligatures w14:val="standard"/>
        </w:rPr>
        <w:t>Curr Dir Psychol Sci</w:t>
      </w:r>
      <w:r w:rsidRPr="00C20FCB">
        <w:rPr>
          <w14:ligatures w14:val="standard"/>
        </w:rPr>
        <w:t xml:space="preserve">, vol. 18, no. 4, pp. 242–246, Aug. 2009, </w:t>
      </w:r>
      <w:proofErr w:type="spellStart"/>
      <w:r w:rsidRPr="00C20FCB">
        <w:rPr>
          <w14:ligatures w14:val="standard"/>
        </w:rPr>
        <w:t>doi</w:t>
      </w:r>
      <w:proofErr w:type="spellEnd"/>
      <w:r w:rsidRPr="00C20FCB">
        <w:rPr>
          <w14:ligatures w14:val="standard"/>
        </w:rPr>
        <w:t xml:space="preserve">: </w:t>
      </w:r>
      <w:hyperlink r:id="rId41" w:history="1">
        <w:r w:rsidRPr="00C20FCB">
          <w:rPr>
            <w:rStyle w:val="Hyperlink"/>
            <w14:ligatures w14:val="standard"/>
          </w:rPr>
          <w:t>10.1111/j.1467-8721.2009.01644.x</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[27]</w:t>
      </w:r>
    </w:p>
    <w:p w:rsidR="00C20FCB" w:rsidRPr="00C20FCB" w:rsidRDefault="00C20FCB" w:rsidP="00C20FCB">
      <w:pPr>
        <w:pStyle w:val="Bibentry"/>
        <w:rPr>
          <w14:ligatures w14:val="standard"/>
        </w:rPr>
      </w:pPr>
      <w:r w:rsidRPr="00C20FCB">
        <w:rPr>
          <w14:ligatures w14:val="standard"/>
        </w:rPr>
        <w:t xml:space="preserve">N. J. Emery, “The eyes have it: the neuroethology, function and evolution of social gaze,” </w:t>
      </w:r>
      <w:r w:rsidRPr="00C20FCB">
        <w:rPr>
          <w:i/>
          <w:iCs/>
          <w14:ligatures w14:val="standard"/>
        </w:rPr>
        <w:t>Neuroscience &amp; Biobehavioral Reviews</w:t>
      </w:r>
      <w:r w:rsidRPr="00C20FCB">
        <w:rPr>
          <w14:ligatures w14:val="standard"/>
        </w:rPr>
        <w:t xml:space="preserve">, vol. 24, no. 6, pp. 581–604, Aug. 2000, </w:t>
      </w:r>
      <w:proofErr w:type="spellStart"/>
      <w:r w:rsidRPr="00C20FCB">
        <w:rPr>
          <w14:ligatures w14:val="standard"/>
        </w:rPr>
        <w:t>doi</w:t>
      </w:r>
      <w:proofErr w:type="spellEnd"/>
      <w:r w:rsidRPr="00C20FCB">
        <w:rPr>
          <w14:ligatures w14:val="standard"/>
        </w:rPr>
        <w:t xml:space="preserve">: </w:t>
      </w:r>
      <w:hyperlink r:id="rId42" w:history="1">
        <w:r w:rsidRPr="00C20FCB">
          <w:rPr>
            <w:rStyle w:val="Hyperlink"/>
            <w14:ligatures w14:val="standard"/>
          </w:rPr>
          <w:t>10.1016/S0149-7634(00)00025-7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[28]</w:t>
      </w:r>
    </w:p>
    <w:p w:rsidR="00C20FCB" w:rsidRPr="00C20FCB" w:rsidRDefault="00C20FCB" w:rsidP="00C20FCB">
      <w:pPr>
        <w:pStyle w:val="Bibentry"/>
        <w:rPr>
          <w14:ligatures w14:val="standard"/>
        </w:rPr>
      </w:pPr>
      <w:r w:rsidRPr="00C20FCB">
        <w:rPr>
          <w14:ligatures w14:val="standard"/>
        </w:rPr>
        <w:t xml:space="preserve">C. K. Friesen and A. Kingstone, “The eyes have it! Reflexive orienting is triggered by nonpredictive gaze,” </w:t>
      </w:r>
      <w:r w:rsidRPr="00C20FCB">
        <w:rPr>
          <w:i/>
          <w:iCs/>
          <w14:ligatures w14:val="standard"/>
        </w:rPr>
        <w:t>Psychonomic Bulletin &amp; Review</w:t>
      </w:r>
      <w:r w:rsidRPr="00C20FCB">
        <w:rPr>
          <w14:ligatures w14:val="standard"/>
        </w:rPr>
        <w:t xml:space="preserve">, vol. 5, no. 3, pp. 490–495, Sep. 1998, </w:t>
      </w:r>
      <w:proofErr w:type="spellStart"/>
      <w:r w:rsidRPr="00C20FCB">
        <w:rPr>
          <w14:ligatures w14:val="standard"/>
        </w:rPr>
        <w:t>doi</w:t>
      </w:r>
      <w:proofErr w:type="spellEnd"/>
      <w:r w:rsidRPr="00C20FCB">
        <w:rPr>
          <w14:ligatures w14:val="standard"/>
        </w:rPr>
        <w:t xml:space="preserve">: </w:t>
      </w:r>
      <w:hyperlink r:id="rId43" w:history="1">
        <w:r w:rsidRPr="00C20FCB">
          <w:rPr>
            <w:rStyle w:val="Hyperlink"/>
            <w14:ligatures w14:val="standard"/>
          </w:rPr>
          <w:t>10.3758/BF03208827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[29]</w:t>
      </w:r>
    </w:p>
    <w:p w:rsidR="00C20FCB" w:rsidRPr="00C20FCB" w:rsidRDefault="00C20FCB" w:rsidP="00C20FCB">
      <w:pPr>
        <w:pStyle w:val="Bibentry"/>
        <w:rPr>
          <w14:ligatures w14:val="standard"/>
        </w:rPr>
      </w:pPr>
      <w:r w:rsidRPr="00C20FCB">
        <w:rPr>
          <w14:ligatures w14:val="standard"/>
        </w:rPr>
        <w:t xml:space="preserve">José Luis Ulloa </w:t>
      </w:r>
      <w:r w:rsidRPr="00C20FCB">
        <w:rPr>
          <w:i/>
          <w:iCs/>
          <w14:ligatures w14:val="standard"/>
        </w:rPr>
        <w:t>et al.</w:t>
      </w:r>
      <w:r w:rsidRPr="00C20FCB">
        <w:rPr>
          <w14:ligatures w14:val="standard"/>
        </w:rPr>
        <w:t xml:space="preserve">, “The impact of eye contact on the sense of agency,” </w:t>
      </w:r>
      <w:r w:rsidRPr="00C20FCB">
        <w:rPr>
          <w:i/>
          <w:iCs/>
          <w14:ligatures w14:val="standard"/>
        </w:rPr>
        <w:t>Consciousness and Cognition</w:t>
      </w:r>
      <w:r w:rsidRPr="00C20FCB">
        <w:rPr>
          <w14:ligatures w14:val="standard"/>
        </w:rPr>
        <w:t xml:space="preserve">, vol. 74, p. 102794, Sep. 2019, </w:t>
      </w:r>
      <w:proofErr w:type="spellStart"/>
      <w:r w:rsidRPr="00C20FCB">
        <w:rPr>
          <w14:ligatures w14:val="standard"/>
        </w:rPr>
        <w:t>doi</w:t>
      </w:r>
      <w:proofErr w:type="spellEnd"/>
      <w:r w:rsidRPr="00C20FCB">
        <w:rPr>
          <w14:ligatures w14:val="standard"/>
        </w:rPr>
        <w:t xml:space="preserve">: </w:t>
      </w:r>
      <w:hyperlink r:id="rId44" w:history="1">
        <w:r w:rsidRPr="00C20FCB">
          <w:rPr>
            <w:rStyle w:val="Hyperlink"/>
            <w14:ligatures w14:val="standard"/>
          </w:rPr>
          <w:t>10.1016/j.concog.2019.102794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[30]</w:t>
      </w:r>
    </w:p>
    <w:p w:rsidR="00C20FCB" w:rsidRPr="00C20FCB" w:rsidRDefault="00C20FCB" w:rsidP="00C20FCB">
      <w:pPr>
        <w:pStyle w:val="Bibentry"/>
        <w:rPr>
          <w14:ligatures w14:val="standard"/>
        </w:rPr>
      </w:pPr>
      <w:r w:rsidRPr="00C20FCB">
        <w:rPr>
          <w14:ligatures w14:val="standard"/>
        </w:rPr>
        <w:t xml:space="preserve">W. Wen and H. </w:t>
      </w:r>
      <w:proofErr w:type="spellStart"/>
      <w:r w:rsidRPr="00C20FCB">
        <w:rPr>
          <w14:ligatures w14:val="standard"/>
        </w:rPr>
        <w:t>Imamizu</w:t>
      </w:r>
      <w:proofErr w:type="spellEnd"/>
      <w:r w:rsidRPr="00C20FCB">
        <w:rPr>
          <w14:ligatures w14:val="standard"/>
        </w:rPr>
        <w:t xml:space="preserve">, “The sense of agency in perception, </w:t>
      </w:r>
      <w:proofErr w:type="spellStart"/>
      <w:r w:rsidRPr="00C20FCB">
        <w:rPr>
          <w14:ligatures w14:val="standard"/>
        </w:rPr>
        <w:t>behaviour</w:t>
      </w:r>
      <w:proofErr w:type="spellEnd"/>
      <w:r w:rsidRPr="00C20FCB">
        <w:rPr>
          <w14:ligatures w14:val="standard"/>
        </w:rPr>
        <w:t xml:space="preserve"> and human–machine interactions,” </w:t>
      </w:r>
      <w:r w:rsidRPr="00C20FCB">
        <w:rPr>
          <w:i/>
          <w:iCs/>
          <w14:ligatures w14:val="standard"/>
        </w:rPr>
        <w:t>Nat Rev Psychol</w:t>
      </w:r>
      <w:r w:rsidRPr="00C20FCB">
        <w:rPr>
          <w14:ligatures w14:val="standard"/>
        </w:rPr>
        <w:t xml:space="preserve">, vol. 1, no. 4, pp. 211–222, Feb. 2022, </w:t>
      </w:r>
      <w:proofErr w:type="spellStart"/>
      <w:r w:rsidRPr="00C20FCB">
        <w:rPr>
          <w14:ligatures w14:val="standard"/>
        </w:rPr>
        <w:t>doi</w:t>
      </w:r>
      <w:proofErr w:type="spellEnd"/>
      <w:r w:rsidRPr="00C20FCB">
        <w:rPr>
          <w14:ligatures w14:val="standard"/>
        </w:rPr>
        <w:t xml:space="preserve">: </w:t>
      </w:r>
      <w:hyperlink r:id="rId45" w:history="1">
        <w:r w:rsidRPr="00C20FCB">
          <w:rPr>
            <w:rStyle w:val="Hyperlink"/>
            <w14:ligatures w14:val="standard"/>
          </w:rPr>
          <w:t>10.1038/s44159-022-00030-6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[31]</w:t>
      </w:r>
    </w:p>
    <w:p w:rsidR="00C20FCB" w:rsidRPr="00C20FCB" w:rsidRDefault="00C20FCB" w:rsidP="00C20FCB">
      <w:pPr>
        <w:pStyle w:val="Bibentry"/>
        <w:rPr>
          <w14:ligatures w14:val="standard"/>
        </w:rPr>
      </w:pPr>
      <w:r w:rsidRPr="00C20FCB">
        <w:rPr>
          <w14:ligatures w14:val="standard"/>
        </w:rPr>
        <w:t xml:space="preserve">S. S. Shergill, P. M. Bays, C. D. Frith, and D. M. Wolpert, “Two Eyes for an Eye: The Neuroscience of Force Escalation,” </w:t>
      </w:r>
      <w:r w:rsidRPr="00C20FCB">
        <w:rPr>
          <w:i/>
          <w:iCs/>
          <w14:ligatures w14:val="standard"/>
        </w:rPr>
        <w:t>Science</w:t>
      </w:r>
      <w:r w:rsidRPr="00C20FCB">
        <w:rPr>
          <w14:ligatures w14:val="standard"/>
        </w:rPr>
        <w:t xml:space="preserve">, vol. 301, no. 5630, pp. 187–187, Jul. 2003, </w:t>
      </w:r>
      <w:proofErr w:type="spellStart"/>
      <w:r w:rsidRPr="00C20FCB">
        <w:rPr>
          <w14:ligatures w14:val="standard"/>
        </w:rPr>
        <w:t>doi</w:t>
      </w:r>
      <w:proofErr w:type="spellEnd"/>
      <w:r w:rsidRPr="00C20FCB">
        <w:rPr>
          <w14:ligatures w14:val="standard"/>
        </w:rPr>
        <w:t xml:space="preserve">: </w:t>
      </w:r>
      <w:hyperlink r:id="rId46" w:history="1">
        <w:r w:rsidRPr="00C20FCB">
          <w:rPr>
            <w:rStyle w:val="Hyperlink"/>
            <w14:ligatures w14:val="standard"/>
          </w:rPr>
          <w:t>10.1126/science.1085327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[32]</w:t>
      </w:r>
    </w:p>
    <w:p w:rsidR="00C20FCB" w:rsidRPr="00C20FCB" w:rsidRDefault="00C20FCB" w:rsidP="00C20FCB">
      <w:pPr>
        <w:pStyle w:val="Bibentry"/>
        <w:rPr>
          <w14:ligatures w14:val="standard"/>
        </w:rPr>
      </w:pPr>
      <w:r w:rsidRPr="00C20FCB">
        <w:rPr>
          <w14:ligatures w14:val="standard"/>
        </w:rPr>
        <w:t xml:space="preserve">M. Tomasello, M. Carpenter, J. Call, T. Behne, and H. Moll, “Understanding and sharing intentions: The origins of cultural cognition,” </w:t>
      </w:r>
      <w:proofErr w:type="spellStart"/>
      <w:r w:rsidRPr="00C20FCB">
        <w:rPr>
          <w:i/>
          <w:iCs/>
          <w14:ligatures w14:val="standard"/>
        </w:rPr>
        <w:t>Behav</w:t>
      </w:r>
      <w:proofErr w:type="spellEnd"/>
      <w:r w:rsidRPr="00C20FCB">
        <w:rPr>
          <w:i/>
          <w:iCs/>
          <w14:ligatures w14:val="standard"/>
        </w:rPr>
        <w:t xml:space="preserve"> Brain Sci</w:t>
      </w:r>
      <w:r w:rsidRPr="00C20FCB">
        <w:rPr>
          <w14:ligatures w14:val="standard"/>
        </w:rPr>
        <w:t xml:space="preserve">, vol. 28, no. 5, pp. 675–691, Oct. 2005, </w:t>
      </w:r>
      <w:proofErr w:type="spellStart"/>
      <w:r w:rsidRPr="00C20FCB">
        <w:rPr>
          <w14:ligatures w14:val="standard"/>
        </w:rPr>
        <w:t>doi</w:t>
      </w:r>
      <w:proofErr w:type="spellEnd"/>
      <w:r w:rsidRPr="00C20FCB">
        <w:rPr>
          <w14:ligatures w14:val="standard"/>
        </w:rPr>
        <w:t xml:space="preserve">: </w:t>
      </w:r>
      <w:hyperlink r:id="rId47" w:history="1">
        <w:r w:rsidRPr="00C20FCB">
          <w:rPr>
            <w:rStyle w:val="Hyperlink"/>
            <w14:ligatures w14:val="standard"/>
          </w:rPr>
          <w:t>10.1017/S0140525X05000129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[33]</w:t>
      </w:r>
    </w:p>
    <w:p w:rsidR="00C20FCB" w:rsidRPr="00C20FCB" w:rsidRDefault="00C20FCB" w:rsidP="00C20FCB">
      <w:pPr>
        <w:pStyle w:val="Bibentry"/>
        <w:rPr>
          <w14:ligatures w14:val="standard"/>
        </w:rPr>
      </w:pPr>
      <w:r w:rsidRPr="00C20FCB">
        <w:rPr>
          <w14:ligatures w14:val="standard"/>
        </w:rPr>
        <w:t xml:space="preserve">D. M. Wegner, B. Sparrow, and L. </w:t>
      </w:r>
      <w:proofErr w:type="spellStart"/>
      <w:r w:rsidRPr="00C20FCB">
        <w:rPr>
          <w14:ligatures w14:val="standard"/>
        </w:rPr>
        <w:t>Winerman</w:t>
      </w:r>
      <w:proofErr w:type="spellEnd"/>
      <w:r w:rsidRPr="00C20FCB">
        <w:rPr>
          <w14:ligatures w14:val="standard"/>
        </w:rPr>
        <w:t xml:space="preserve">, “Vicarious Agency: Experiencing Control Over the Movements of Others.,” </w:t>
      </w:r>
      <w:r w:rsidRPr="00C20FCB">
        <w:rPr>
          <w:i/>
          <w:iCs/>
          <w14:ligatures w14:val="standard"/>
        </w:rPr>
        <w:t>Journal of Personality and Social Psychology</w:t>
      </w:r>
      <w:r w:rsidRPr="00C20FCB">
        <w:rPr>
          <w14:ligatures w14:val="standard"/>
        </w:rPr>
        <w:t xml:space="preserve">, vol. 86, no. 6, pp. 838–848, 2004, </w:t>
      </w:r>
      <w:proofErr w:type="spellStart"/>
      <w:r w:rsidRPr="00C20FCB">
        <w:rPr>
          <w14:ligatures w14:val="standard"/>
        </w:rPr>
        <w:t>doi</w:t>
      </w:r>
      <w:proofErr w:type="spellEnd"/>
      <w:r w:rsidRPr="00C20FCB">
        <w:rPr>
          <w14:ligatures w14:val="standard"/>
        </w:rPr>
        <w:t xml:space="preserve">: </w:t>
      </w:r>
      <w:hyperlink r:id="rId48" w:history="1">
        <w:r w:rsidRPr="00C20FCB">
          <w:rPr>
            <w:rStyle w:val="Hyperlink"/>
            <w14:ligatures w14:val="standard"/>
          </w:rPr>
          <w:t>10.1037/0022-3514.86.6.838</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[34]</w:t>
      </w:r>
    </w:p>
    <w:p w:rsidR="00C20FCB" w:rsidRPr="00C20FCB" w:rsidRDefault="00C20FCB" w:rsidP="00C20FCB">
      <w:pPr>
        <w:pStyle w:val="Bibentry"/>
        <w:rPr>
          <w14:ligatures w14:val="standard"/>
        </w:rPr>
      </w:pPr>
      <w:r w:rsidRPr="00C20FCB">
        <w:rPr>
          <w14:ligatures w14:val="standard"/>
        </w:rPr>
        <w:t xml:space="preserve">P. Haggard, S. Clark, and J. Kalogeras, “Voluntary action and conscious awareness,” </w:t>
      </w:r>
      <w:r w:rsidRPr="00C20FCB">
        <w:rPr>
          <w:i/>
          <w:iCs/>
          <w14:ligatures w14:val="standard"/>
        </w:rPr>
        <w:t xml:space="preserve">Nat </w:t>
      </w:r>
      <w:proofErr w:type="spellStart"/>
      <w:r w:rsidRPr="00C20FCB">
        <w:rPr>
          <w:i/>
          <w:iCs/>
          <w14:ligatures w14:val="standard"/>
        </w:rPr>
        <w:t>Neurosci</w:t>
      </w:r>
      <w:proofErr w:type="spellEnd"/>
      <w:r w:rsidRPr="00C20FCB">
        <w:rPr>
          <w14:ligatures w14:val="standard"/>
        </w:rPr>
        <w:t xml:space="preserve">, vol. 5, no. 4, pp. 382–385, Apr. 2002, </w:t>
      </w:r>
      <w:proofErr w:type="spellStart"/>
      <w:r w:rsidRPr="00C20FCB">
        <w:rPr>
          <w14:ligatures w14:val="standard"/>
        </w:rPr>
        <w:t>doi</w:t>
      </w:r>
      <w:proofErr w:type="spellEnd"/>
      <w:r w:rsidRPr="00C20FCB">
        <w:rPr>
          <w14:ligatures w14:val="standard"/>
        </w:rPr>
        <w:t xml:space="preserve">: </w:t>
      </w:r>
      <w:hyperlink r:id="rId49" w:history="1">
        <w:r w:rsidRPr="00C20FCB">
          <w:rPr>
            <w:rStyle w:val="Hyperlink"/>
            <w14:ligatures w14:val="standard"/>
          </w:rPr>
          <w:t>10.1038/nn827</w:t>
        </w:r>
      </w:hyperlink>
      <w:r w:rsidRPr="00C20FCB">
        <w:rPr>
          <w14:ligatures w14:val="standard"/>
        </w:rPr>
        <w:t>.</w:t>
      </w:r>
    </w:p>
    <w:p w:rsidR="00C20FCB" w:rsidRPr="00586A35" w:rsidRDefault="00C20FCB" w:rsidP="00D341FA">
      <w:pPr>
        <w:pStyle w:val="Bibentry"/>
        <w:rPr>
          <w14:ligatures w14:val="standard"/>
        </w:rPr>
      </w:pP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72E1" w:rsidRDefault="00F072E1">
      <w:r>
        <w:separator/>
      </w:r>
    </w:p>
  </w:endnote>
  <w:endnote w:type="continuationSeparator" w:id="0">
    <w:p w:rsidR="00F072E1" w:rsidRDefault="00F072E1">
      <w:r>
        <w:continuationSeparator/>
      </w:r>
    </w:p>
  </w:endnote>
  <w:endnote w:type="continuationNotice" w:id="1">
    <w:p w:rsidR="00F072E1" w:rsidRDefault="00F072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A35" w:rsidRPr="00586A35" w:rsidRDefault="00586A35" w:rsidP="00586A35">
    <w:pPr>
      <w:pStyle w:val="Footer"/>
      <w:rPr>
        <w:rStyle w:val="PageNumber"/>
        <w:rFonts w:ascii="Linux Biolinum" w:hAnsi="Linux Biolinum" w:cs="Linux Biolinum"/>
      </w:rPr>
    </w:pPr>
  </w:p>
  <w:p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72E1" w:rsidRDefault="00F072E1">
      <w:r>
        <w:separator/>
      </w:r>
    </w:p>
  </w:footnote>
  <w:footnote w:type="continuationSeparator" w:id="0">
    <w:p w:rsidR="00F072E1" w:rsidRDefault="00F072E1">
      <w:r>
        <w:continuationSeparator/>
      </w:r>
    </w:p>
  </w:footnote>
  <w:footnote w:type="continuationNotice" w:id="1">
    <w:p w:rsidR="00F072E1" w:rsidRDefault="00F072E1"/>
  </w:footnote>
  <w:footnote w:id="2">
    <w:p w:rsidR="00DC112E" w:rsidRDefault="00DC112E" w:rsidP="00DC112E">
      <w:pPr>
        <w:pStyle w:val="FootnoteText"/>
      </w:pPr>
      <w:r>
        <w:rPr>
          <w:rStyle w:val="FootnoteReference"/>
        </w:rPr>
        <w:footnoteRef/>
      </w:r>
      <w:r>
        <w:t xml:space="preserve"> The existing </w:t>
      </w:r>
      <w:proofErr w:type="spellStart"/>
      <w:r>
        <w:t>Bibstrip</w:t>
      </w:r>
      <w:proofErr w:type="spellEnd"/>
      <w:r>
        <w:t xml:space="preserve">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784449">
    <w:abstractNumId w:val="28"/>
  </w:num>
  <w:num w:numId="2" w16cid:durableId="966471949">
    <w:abstractNumId w:val="14"/>
  </w:num>
  <w:num w:numId="3" w16cid:durableId="1601376074">
    <w:abstractNumId w:val="10"/>
  </w:num>
  <w:num w:numId="4" w16cid:durableId="896669996">
    <w:abstractNumId w:val="27"/>
  </w:num>
  <w:num w:numId="5" w16cid:durableId="1750037424">
    <w:abstractNumId w:val="19"/>
  </w:num>
  <w:num w:numId="6" w16cid:durableId="1359040496">
    <w:abstractNumId w:val="15"/>
  </w:num>
  <w:num w:numId="7" w16cid:durableId="1738630154">
    <w:abstractNumId w:val="25"/>
  </w:num>
  <w:num w:numId="8" w16cid:durableId="837157179">
    <w:abstractNumId w:val="21"/>
  </w:num>
  <w:num w:numId="9" w16cid:durableId="519198865">
    <w:abstractNumId w:val="24"/>
  </w:num>
  <w:num w:numId="10" w16cid:durableId="299456110">
    <w:abstractNumId w:val="9"/>
  </w:num>
  <w:num w:numId="11" w16cid:durableId="2090538030">
    <w:abstractNumId w:val="7"/>
  </w:num>
  <w:num w:numId="12" w16cid:durableId="1116949800">
    <w:abstractNumId w:val="6"/>
  </w:num>
  <w:num w:numId="13" w16cid:durableId="1875000679">
    <w:abstractNumId w:val="5"/>
  </w:num>
  <w:num w:numId="14" w16cid:durableId="1778595775">
    <w:abstractNumId w:val="4"/>
  </w:num>
  <w:num w:numId="15" w16cid:durableId="806123730">
    <w:abstractNumId w:val="8"/>
  </w:num>
  <w:num w:numId="16" w16cid:durableId="905844409">
    <w:abstractNumId w:val="3"/>
  </w:num>
  <w:num w:numId="17" w16cid:durableId="675811301">
    <w:abstractNumId w:val="2"/>
  </w:num>
  <w:num w:numId="18" w16cid:durableId="370151991">
    <w:abstractNumId w:val="1"/>
  </w:num>
  <w:num w:numId="19" w16cid:durableId="1620067883">
    <w:abstractNumId w:val="0"/>
  </w:num>
  <w:num w:numId="20" w16cid:durableId="370230272">
    <w:abstractNumId w:val="20"/>
  </w:num>
  <w:num w:numId="21" w16cid:durableId="2007703961">
    <w:abstractNumId w:val="23"/>
  </w:num>
  <w:num w:numId="22" w16cid:durableId="178475013">
    <w:abstractNumId w:val="29"/>
  </w:num>
  <w:num w:numId="23" w16cid:durableId="893348071">
    <w:abstractNumId w:val="13"/>
  </w:num>
  <w:num w:numId="24" w16cid:durableId="1085028232">
    <w:abstractNumId w:val="26"/>
  </w:num>
  <w:num w:numId="25" w16cid:durableId="660810133">
    <w:abstractNumId w:val="22"/>
  </w:num>
  <w:num w:numId="26" w16cid:durableId="1148091858">
    <w:abstractNumId w:val="16"/>
  </w:num>
  <w:num w:numId="27" w16cid:durableId="6627817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225828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0857444">
    <w:abstractNumId w:val="17"/>
  </w:num>
  <w:num w:numId="30" w16cid:durableId="1459297186">
    <w:abstractNumId w:val="12"/>
  </w:num>
  <w:num w:numId="31" w16cid:durableId="187276126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32B5"/>
    <w:rsid w:val="00035FAD"/>
    <w:rsid w:val="00041330"/>
    <w:rsid w:val="00045252"/>
    <w:rsid w:val="00047398"/>
    <w:rsid w:val="00050EEF"/>
    <w:rsid w:val="00052A1A"/>
    <w:rsid w:val="00052C34"/>
    <w:rsid w:val="00056777"/>
    <w:rsid w:val="00062D29"/>
    <w:rsid w:val="000713CD"/>
    <w:rsid w:val="000717FA"/>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15341"/>
    <w:rsid w:val="00125AC6"/>
    <w:rsid w:val="00127D30"/>
    <w:rsid w:val="0013007D"/>
    <w:rsid w:val="0013113A"/>
    <w:rsid w:val="001314CF"/>
    <w:rsid w:val="001363F5"/>
    <w:rsid w:val="00140C02"/>
    <w:rsid w:val="00141A17"/>
    <w:rsid w:val="0014244B"/>
    <w:rsid w:val="00142FEA"/>
    <w:rsid w:val="001453E7"/>
    <w:rsid w:val="00145419"/>
    <w:rsid w:val="00145486"/>
    <w:rsid w:val="00152510"/>
    <w:rsid w:val="001566AE"/>
    <w:rsid w:val="001751F7"/>
    <w:rsid w:val="00185CD9"/>
    <w:rsid w:val="00193445"/>
    <w:rsid w:val="001961CD"/>
    <w:rsid w:val="001A06AF"/>
    <w:rsid w:val="001A43B1"/>
    <w:rsid w:val="001A71BB"/>
    <w:rsid w:val="001B29D6"/>
    <w:rsid w:val="001B5057"/>
    <w:rsid w:val="001D5887"/>
    <w:rsid w:val="001E2720"/>
    <w:rsid w:val="001E71D7"/>
    <w:rsid w:val="0020294A"/>
    <w:rsid w:val="00220572"/>
    <w:rsid w:val="002233F8"/>
    <w:rsid w:val="00240D20"/>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2E0A"/>
    <w:rsid w:val="003D544B"/>
    <w:rsid w:val="003D7001"/>
    <w:rsid w:val="003E6247"/>
    <w:rsid w:val="003F4297"/>
    <w:rsid w:val="003F5DAE"/>
    <w:rsid w:val="003F5F3D"/>
    <w:rsid w:val="003F7CA2"/>
    <w:rsid w:val="004023EC"/>
    <w:rsid w:val="004123AD"/>
    <w:rsid w:val="004128EE"/>
    <w:rsid w:val="00421601"/>
    <w:rsid w:val="00427C7D"/>
    <w:rsid w:val="00431CB0"/>
    <w:rsid w:val="0046042C"/>
    <w:rsid w:val="0048106F"/>
    <w:rsid w:val="0048126B"/>
    <w:rsid w:val="004825CE"/>
    <w:rsid w:val="004836A6"/>
    <w:rsid w:val="0049162A"/>
    <w:rsid w:val="00492EF4"/>
    <w:rsid w:val="004947C9"/>
    <w:rsid w:val="00495781"/>
    <w:rsid w:val="00497365"/>
    <w:rsid w:val="004A7556"/>
    <w:rsid w:val="004B0BF6"/>
    <w:rsid w:val="004C1EDF"/>
    <w:rsid w:val="004C49F3"/>
    <w:rsid w:val="004C6B2D"/>
    <w:rsid w:val="004F1673"/>
    <w:rsid w:val="0050103C"/>
    <w:rsid w:val="005041C6"/>
    <w:rsid w:val="00504C8B"/>
    <w:rsid w:val="00506EF6"/>
    <w:rsid w:val="005153AC"/>
    <w:rsid w:val="005160AB"/>
    <w:rsid w:val="00523CD9"/>
    <w:rsid w:val="00524B92"/>
    <w:rsid w:val="005351A0"/>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5F564B"/>
    <w:rsid w:val="006078F7"/>
    <w:rsid w:val="00607A60"/>
    <w:rsid w:val="0061273A"/>
    <w:rsid w:val="00612C56"/>
    <w:rsid w:val="00612E4E"/>
    <w:rsid w:val="006317A6"/>
    <w:rsid w:val="0063608B"/>
    <w:rsid w:val="00644AC8"/>
    <w:rsid w:val="00650463"/>
    <w:rsid w:val="006514CD"/>
    <w:rsid w:val="0065275A"/>
    <w:rsid w:val="00654D92"/>
    <w:rsid w:val="00660A05"/>
    <w:rsid w:val="00670649"/>
    <w:rsid w:val="00672ABE"/>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3C49"/>
    <w:rsid w:val="00717FB2"/>
    <w:rsid w:val="007249CB"/>
    <w:rsid w:val="00724D41"/>
    <w:rsid w:val="00727914"/>
    <w:rsid w:val="00727EBD"/>
    <w:rsid w:val="00732243"/>
    <w:rsid w:val="00732D22"/>
    <w:rsid w:val="00743328"/>
    <w:rsid w:val="007451FF"/>
    <w:rsid w:val="00745373"/>
    <w:rsid w:val="00747E69"/>
    <w:rsid w:val="00751EC1"/>
    <w:rsid w:val="00752225"/>
    <w:rsid w:val="00753548"/>
    <w:rsid w:val="00763D9D"/>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4E43"/>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1AA1"/>
    <w:rsid w:val="008C6E83"/>
    <w:rsid w:val="008C72C9"/>
    <w:rsid w:val="008D4A83"/>
    <w:rsid w:val="008F2E75"/>
    <w:rsid w:val="008F6FB8"/>
    <w:rsid w:val="008F7FBB"/>
    <w:rsid w:val="009010B7"/>
    <w:rsid w:val="009073E1"/>
    <w:rsid w:val="00912135"/>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9F42D0"/>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B5FC3"/>
    <w:rsid w:val="00AC4630"/>
    <w:rsid w:val="00AD0294"/>
    <w:rsid w:val="00AE1E64"/>
    <w:rsid w:val="00B129A2"/>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BF7B4F"/>
    <w:rsid w:val="00C03DCA"/>
    <w:rsid w:val="00C06212"/>
    <w:rsid w:val="00C1142C"/>
    <w:rsid w:val="00C14A4F"/>
    <w:rsid w:val="00C20FCB"/>
    <w:rsid w:val="00C32613"/>
    <w:rsid w:val="00C41AE1"/>
    <w:rsid w:val="00C4538D"/>
    <w:rsid w:val="00C461FF"/>
    <w:rsid w:val="00C50274"/>
    <w:rsid w:val="00C5423E"/>
    <w:rsid w:val="00C72FAB"/>
    <w:rsid w:val="00C822AF"/>
    <w:rsid w:val="00C83766"/>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194"/>
    <w:rsid w:val="00D9290D"/>
    <w:rsid w:val="00DA46C7"/>
    <w:rsid w:val="00DA4C47"/>
    <w:rsid w:val="00DC112E"/>
    <w:rsid w:val="00DC1C49"/>
    <w:rsid w:val="00DC4B20"/>
    <w:rsid w:val="00DC4FC9"/>
    <w:rsid w:val="00DD476E"/>
    <w:rsid w:val="00DD5335"/>
    <w:rsid w:val="00DD7C52"/>
    <w:rsid w:val="00DF0E97"/>
    <w:rsid w:val="00DF15B7"/>
    <w:rsid w:val="00E003EC"/>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2E1"/>
    <w:rsid w:val="00F07F37"/>
    <w:rsid w:val="00F13DDE"/>
    <w:rsid w:val="00F2664D"/>
    <w:rsid w:val="00F30418"/>
    <w:rsid w:val="00F3215E"/>
    <w:rsid w:val="00F3231F"/>
    <w:rsid w:val="00F36726"/>
    <w:rsid w:val="00F41CC2"/>
    <w:rsid w:val="00F52D73"/>
    <w:rsid w:val="00F65834"/>
    <w:rsid w:val="00F66B6F"/>
    <w:rsid w:val="00F74DA3"/>
    <w:rsid w:val="00F86934"/>
    <w:rsid w:val="00F91DFA"/>
    <w:rsid w:val="00F95288"/>
    <w:rsid w:val="00F9791B"/>
    <w:rsid w:val="00FA313D"/>
    <w:rsid w:val="00FB2AFC"/>
    <w:rsid w:val="00FB7A39"/>
    <w:rsid w:val="00FC0E1D"/>
    <w:rsid w:val="00FC53DA"/>
    <w:rsid w:val="00FD16A9"/>
    <w:rsid w:val="00FD2AD8"/>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E46D8D"/>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24B9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72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il@email.com" TargetMode="External"/><Relationship Id="rId18" Type="http://schemas.openxmlformats.org/officeDocument/2006/relationships/image" Target="media/image4.tiff"/><Relationship Id="rId26" Type="http://schemas.openxmlformats.org/officeDocument/2006/relationships/hyperlink" Target="https://doi.org/10.1016/j.actpsy.2023.104121" TargetMode="External"/><Relationship Id="rId39" Type="http://schemas.openxmlformats.org/officeDocument/2006/relationships/hyperlink" Target="https://doi.org/10.3758/s13423-020-01730-x" TargetMode="External"/><Relationship Id="rId21" Type="http://schemas.openxmlformats.org/officeDocument/2006/relationships/hyperlink" Target="https://doi.org/10.1016/j.tics.2004.12.004" TargetMode="External"/><Relationship Id="rId34" Type="http://schemas.openxmlformats.org/officeDocument/2006/relationships/hyperlink" Target="https://doi.org/10.1016/j.concog.2012.11.012" TargetMode="External"/><Relationship Id="rId42" Type="http://schemas.openxmlformats.org/officeDocument/2006/relationships/hyperlink" Target="https://doi.org/10.1016/S0149-7634(00)00025-7" TargetMode="External"/><Relationship Id="rId47" Type="http://schemas.openxmlformats.org/officeDocument/2006/relationships/hyperlink" Target="https://doi.org/10.1017/S0140525X05000129"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tif"/><Relationship Id="rId29" Type="http://schemas.openxmlformats.org/officeDocument/2006/relationships/hyperlink" Target="https://doi.org/10.1080/135062899394920" TargetMode="External"/><Relationship Id="rId11" Type="http://schemas.openxmlformats.org/officeDocument/2006/relationships/footer" Target="footer1.xml"/><Relationship Id="rId24" Type="http://schemas.openxmlformats.org/officeDocument/2006/relationships/hyperlink" Target="https://doi.org/10.1097/00001756-199911080-00033" TargetMode="External"/><Relationship Id="rId32" Type="http://schemas.openxmlformats.org/officeDocument/2006/relationships/hyperlink" Target="https://doi.org/10.1016/S0893-6080(98)00066-5" TargetMode="External"/><Relationship Id="rId37" Type="http://schemas.openxmlformats.org/officeDocument/2006/relationships/hyperlink" Target="https://doi.org/10.3758/s13423-011-0053-5" TargetMode="External"/><Relationship Id="rId40" Type="http://schemas.openxmlformats.org/officeDocument/2006/relationships/hyperlink" Target="https://doi.org/10.1016/j.cognition.2009.10.016" TargetMode="External"/><Relationship Id="rId45" Type="http://schemas.openxmlformats.org/officeDocument/2006/relationships/hyperlink" Target="https://doi.org/10.1038/s44159-022-00030-6" TargetMode="External"/><Relationship Id="rId5" Type="http://schemas.openxmlformats.org/officeDocument/2006/relationships/settings" Target="settings.xml"/><Relationship Id="rId15" Type="http://schemas.openxmlformats.org/officeDocument/2006/relationships/image" Target="media/image1.tiff"/><Relationship Id="rId23" Type="http://schemas.openxmlformats.org/officeDocument/2006/relationships/hyperlink" Target="https://doi.org/10.1080/713756671" TargetMode="External"/><Relationship Id="rId28" Type="http://schemas.openxmlformats.org/officeDocument/2006/relationships/hyperlink" Target="https://doi.org/10.3758/BF03193146" TargetMode="External"/><Relationship Id="rId36" Type="http://schemas.openxmlformats.org/officeDocument/2006/relationships/hyperlink" Target="https://doi.org/10.1371/journal.pone.0212450" TargetMode="External"/><Relationship Id="rId49" Type="http://schemas.openxmlformats.org/officeDocument/2006/relationships/hyperlink" Target="https://doi.org/10.1038/nn827" TargetMode="External"/><Relationship Id="rId10" Type="http://schemas.openxmlformats.org/officeDocument/2006/relationships/header" Target="header2.xml"/><Relationship Id="rId19" Type="http://schemas.openxmlformats.org/officeDocument/2006/relationships/image" Target="media/image5.tiff"/><Relationship Id="rId31" Type="http://schemas.openxmlformats.org/officeDocument/2006/relationships/hyperlink" Target="https://doi.org/10.7551/mitpress/4635.001.0001" TargetMode="External"/><Relationship Id="rId44" Type="http://schemas.openxmlformats.org/officeDocument/2006/relationships/hyperlink" Target="https://doi.org/10.1016/j.concog.2019.102794"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1145/1234567890" TargetMode="External"/><Relationship Id="rId22" Type="http://schemas.openxmlformats.org/officeDocument/2006/relationships/hyperlink" Target="https://doi.org/10.1016/S1364-6613(99)01436-9" TargetMode="External"/><Relationship Id="rId27" Type="http://schemas.openxmlformats.org/officeDocument/2006/relationships/hyperlink" Target="https://doi.org/10.1016/j.cognition.2017.12.011" TargetMode="External"/><Relationship Id="rId30" Type="http://schemas.openxmlformats.org/officeDocument/2006/relationships/hyperlink" Target="https://doi.org/10.1177/20416695221095884" TargetMode="External"/><Relationship Id="rId35" Type="http://schemas.openxmlformats.org/officeDocument/2006/relationships/hyperlink" Target="https://doi.org/10.1016/j.ijpsycho.2011.11.014" TargetMode="External"/><Relationship Id="rId43" Type="http://schemas.openxmlformats.org/officeDocument/2006/relationships/hyperlink" Target="https://doi.org/10.3758/BF03208827" TargetMode="External"/><Relationship Id="rId48" Type="http://schemas.openxmlformats.org/officeDocument/2006/relationships/hyperlink" Target="https://doi.org/10.1037/0022-3514.86.6.838" TargetMode="Externa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tiff"/><Relationship Id="rId25" Type="http://schemas.openxmlformats.org/officeDocument/2006/relationships/hyperlink" Target="https://doi.org/10.1016/j.concog.2012.10.005" TargetMode="External"/><Relationship Id="rId33" Type="http://schemas.openxmlformats.org/officeDocument/2006/relationships/hyperlink" Target="https://doi.org/10.1080/00335558008248231" TargetMode="External"/><Relationship Id="rId38" Type="http://schemas.openxmlformats.org/officeDocument/2006/relationships/hyperlink" Target="https://doi.org/10.1080/135062899394939" TargetMode="External"/><Relationship Id="rId46" Type="http://schemas.openxmlformats.org/officeDocument/2006/relationships/hyperlink" Target="https://doi.org/10.1126/science.1085327" TargetMode="External"/><Relationship Id="rId20" Type="http://schemas.openxmlformats.org/officeDocument/2006/relationships/hyperlink" Target="https://doi.org/10.1038/2870" TargetMode="External"/><Relationship Id="rId41" Type="http://schemas.openxmlformats.org/officeDocument/2006/relationships/hyperlink" Target="https://doi.org/10.1111/j.1467-8721.2009.01644.x"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318</TotalTime>
  <Pages>8</Pages>
  <Words>18273</Words>
  <Characters>104157</Characters>
  <Application>Microsoft Office Word</Application>
  <DocSecurity>0</DocSecurity>
  <Lines>867</Lines>
  <Paragraphs>244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122186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Kaloyan Zdravkov</cp:lastModifiedBy>
  <cp:revision>15</cp:revision>
  <cp:lastPrinted>2018-05-22T11:24:00Z</cp:lastPrinted>
  <dcterms:created xsi:type="dcterms:W3CDTF">2019-10-29T19:38:00Z</dcterms:created>
  <dcterms:modified xsi:type="dcterms:W3CDTF">2025-06-29T12:20:00Z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