
<file path=[Content_Types].xml><?xml version="1.0" encoding="utf-8"?>
<Types xmlns="http://schemas.openxmlformats.org/package/2006/content-types">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392C" w:rsidRPr="00586A35" w:rsidRDefault="00DF15B7" w:rsidP="007A502C">
      <w:pPr>
        <w:pStyle w:val="Titledocument"/>
        <w:rPr>
          <w14:ligatures w14:val="standard"/>
        </w:rPr>
      </w:pPr>
      <w:r>
        <w:rPr>
          <w:bCs/>
          <w14:ligatures w14:val="standard"/>
        </w:rPr>
        <w:t>Gaze cuing and sense of agency</w:t>
      </w:r>
      <w:r w:rsidR="0089066F" w:rsidRPr="00586A35">
        <w:rPr>
          <w:bCs/>
          <w:vertAlign w:val="superscript"/>
          <w14:ligatures w14:val="standard"/>
        </w:rPr>
        <w:t>∗</w:t>
      </w:r>
    </w:p>
    <w:p w:rsidR="0007392C" w:rsidRPr="00586A35" w:rsidRDefault="00DF15B7" w:rsidP="007A502C">
      <w:pPr>
        <w:pStyle w:val="Subtitle"/>
        <w:rPr>
          <w14:ligatures w14:val="standard"/>
        </w:rPr>
      </w:pPr>
      <w:r>
        <w:rPr>
          <w:bCs/>
          <w14:ligatures w14:val="standard"/>
        </w:rPr>
        <w:t>Can we influence gaze</w:t>
      </w:r>
    </w:p>
    <w:p w:rsidR="00586A35" w:rsidRPr="00586A35" w:rsidRDefault="00586A35" w:rsidP="00F3231F">
      <w:pPr>
        <w:pStyle w:val="Authors"/>
        <w:rPr>
          <w:rStyle w:val="FirstName"/>
          <w14:ligatures w14:val="standard"/>
        </w:rPr>
        <w:sectPr w:rsidR="00586A35" w:rsidRPr="00586A35" w:rsidSect="00586A35">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p>
    <w:p w:rsidR="00586A35" w:rsidRPr="00586A35" w:rsidRDefault="00115341" w:rsidP="00586A35">
      <w:pPr>
        <w:pStyle w:val="Authors"/>
        <w:jc w:val="center"/>
        <w:rPr>
          <w14:ligatures w14:val="standard"/>
        </w:rPr>
      </w:pPr>
      <w:r>
        <w:rPr>
          <w:rStyle w:val="FirstName"/>
          <w14:ligatures w14:val="standard"/>
        </w:rPr>
        <w:t>Rozalina Petkova</w:t>
      </w:r>
      <w:r w:rsidR="0089066F" w:rsidRPr="00586A35">
        <w:rPr>
          <w:vertAlign w:val="superscript"/>
          <w14:ligatures w14:val="standard"/>
        </w:rPr>
        <w:t>†</w:t>
      </w:r>
      <w:r w:rsidR="00586A35" w:rsidRPr="00586A35">
        <w:rPr>
          <w14:ligatures w14:val="standard"/>
        </w:rPr>
        <w:br/>
      </w:r>
      <w:r w:rsidR="00586A35" w:rsidRPr="00586A35">
        <w:rPr>
          <w:rStyle w:val="OrgDiv"/>
          <w:color w:val="auto"/>
          <w:sz w:val="20"/>
          <w14:ligatures w14:val="standard"/>
        </w:rPr>
        <w:t xml:space="preserve"> </w:t>
      </w:r>
      <w:r>
        <w:rPr>
          <w:rStyle w:val="OrgDiv"/>
          <w:color w:val="auto"/>
          <w:sz w:val="20"/>
          <w14:ligatures w14:val="standard"/>
        </w:rPr>
        <w:t>C</w:t>
      </w:r>
      <w:r w:rsidRPr="00115341">
        <w:rPr>
          <w:rStyle w:val="OrgDiv"/>
          <w:color w:val="auto"/>
          <w:sz w:val="20"/>
          <w14:ligatures w14:val="standard"/>
        </w:rPr>
        <w:t>ognitive science and psychology</w:t>
      </w:r>
      <w:r w:rsidR="00586A35" w:rsidRPr="00586A35">
        <w:rPr>
          <w:rStyle w:val="OrgName"/>
          <w:color w:val="auto"/>
          <w:sz w:val="20"/>
          <w14:ligatures w14:val="standard"/>
        </w:rPr>
        <w:br/>
        <w:t xml:space="preserve"> </w:t>
      </w:r>
      <w:r>
        <w:rPr>
          <w:rStyle w:val="OrgName"/>
          <w:color w:val="auto"/>
          <w:sz w:val="20"/>
          <w14:ligatures w14:val="standard"/>
        </w:rPr>
        <w:t>New Bulgarian University</w:t>
      </w:r>
      <w:r w:rsidR="00F36726">
        <w:rPr>
          <w:rStyle w:val="OrgName"/>
          <w:color w:val="auto"/>
          <w:sz w:val="20"/>
          <w14:ligatures w14:val="standard"/>
        </w:rPr>
        <w:br/>
      </w:r>
      <w:r w:rsidR="00586A35" w:rsidRPr="00586A35">
        <w:rPr>
          <w:rStyle w:val="OrgName"/>
          <w:color w:val="auto"/>
          <w:sz w:val="20"/>
          <w14:ligatures w14:val="standard"/>
        </w:rPr>
        <w:t xml:space="preserve"> </w:t>
      </w:r>
      <w:r w:rsidRPr="00F36726">
        <w:rPr>
          <w:rStyle w:val="City"/>
        </w:rPr>
        <w:t>Sofia</w:t>
      </w:r>
      <w:r w:rsidR="00586A35" w:rsidRPr="00586A35">
        <w:rPr>
          <w:sz w:val="20"/>
          <w14:ligatures w14:val="standard"/>
        </w:rPr>
        <w:br/>
        <w:t xml:space="preserve"> </w:t>
      </w:r>
      <w:r>
        <w:rPr>
          <w:rStyle w:val="Email"/>
          <w:color w:val="auto"/>
          <w:sz w:val="20"/>
          <w14:ligatures w14:val="standard"/>
        </w:rPr>
        <w:t>rozi.krasimirova</w:t>
      </w:r>
      <w:r w:rsidR="00586A35" w:rsidRPr="00586A35">
        <w:rPr>
          <w:rStyle w:val="Email"/>
          <w:color w:val="auto"/>
          <w:sz w:val="20"/>
          <w14:ligatures w14:val="standard"/>
        </w:rPr>
        <w:t>@</w:t>
      </w:r>
      <w:r>
        <w:rPr>
          <w:rStyle w:val="Email"/>
          <w:color w:val="auto"/>
          <w:sz w:val="20"/>
          <w14:ligatures w14:val="standard"/>
        </w:rPr>
        <w:t>gmail</w:t>
      </w:r>
      <w:r w:rsidR="00586A35" w:rsidRPr="00586A35">
        <w:rPr>
          <w:rStyle w:val="Email"/>
          <w:color w:val="auto"/>
          <w:sz w:val="20"/>
          <w14:ligatures w14:val="standard"/>
        </w:rPr>
        <w:t>.com</w:t>
      </w:r>
    </w:p>
    <w:p w:rsidR="00586A35" w:rsidRPr="00F36726" w:rsidRDefault="00115341" w:rsidP="00586A35">
      <w:pPr>
        <w:pStyle w:val="Authors"/>
        <w:jc w:val="center"/>
        <w:rPr>
          <w:rStyle w:val="Email"/>
          <w:color w:val="auto"/>
          <w:sz w:val="20"/>
        </w:rPr>
      </w:pPr>
      <w:r>
        <w:rPr>
          <w:rStyle w:val="FirstName"/>
          <w14:ligatures w14:val="standard"/>
        </w:rPr>
        <w:t>Armine</w:t>
      </w:r>
      <w:r w:rsidR="003C3338" w:rsidRPr="00586A35">
        <w:rPr>
          <w14:ligatures w14:val="standard"/>
        </w:rPr>
        <w:t xml:space="preserve"> </w:t>
      </w:r>
      <w:r>
        <w:rPr>
          <w:rStyle w:val="Surname"/>
          <w14:ligatures w14:val="standard"/>
        </w:rPr>
        <w:t>Janyan</w:t>
      </w:r>
      <w:r w:rsidR="00586A35" w:rsidRPr="00586A35">
        <w:rPr>
          <w14:ligatures w14:val="standard"/>
        </w:rPr>
        <w:br/>
      </w:r>
      <w:r w:rsidR="00586A35" w:rsidRPr="00586A35">
        <w:rPr>
          <w:rStyle w:val="OrgDiv"/>
          <w:color w:val="auto"/>
          <w:sz w:val="20"/>
          <w14:ligatures w14:val="standard"/>
        </w:rPr>
        <w:t xml:space="preserve"> </w:t>
      </w:r>
      <w:r>
        <w:rPr>
          <w:rStyle w:val="OrgDiv"/>
          <w:color w:val="auto"/>
          <w:sz w:val="20"/>
          <w14:ligatures w14:val="standard"/>
        </w:rPr>
        <w:t>C</w:t>
      </w:r>
      <w:r w:rsidRPr="00115341">
        <w:rPr>
          <w:rStyle w:val="OrgDiv"/>
          <w:color w:val="auto"/>
          <w:sz w:val="20"/>
          <w14:ligatures w14:val="standard"/>
        </w:rPr>
        <w:t>ognitive science and psychology</w:t>
      </w:r>
      <w:r w:rsidRPr="00F36726">
        <w:rPr>
          <w:rStyle w:val="OrgDiv"/>
          <w:color w:val="auto"/>
        </w:rPr>
        <w:br/>
      </w:r>
      <w:r w:rsidRPr="00F36726">
        <w:rPr>
          <w:rStyle w:val="OrgDiv"/>
          <w:color w:val="auto"/>
        </w:rPr>
        <w:t xml:space="preserve"> </w:t>
      </w:r>
      <w:r w:rsidRPr="00F36726">
        <w:rPr>
          <w:rStyle w:val="OrgName"/>
          <w:color w:val="auto"/>
          <w:sz w:val="20"/>
          <w14:ligatures w14:val="standard"/>
        </w:rPr>
        <w:t>New Bulgarian University</w:t>
      </w:r>
      <w:r w:rsidRPr="00F36726">
        <w:rPr>
          <w:rStyle w:val="OrgName"/>
          <w:color w:val="auto"/>
          <w:sz w:val="20"/>
          <w14:ligatures w14:val="standard"/>
        </w:rPr>
        <w:br/>
        <w:t xml:space="preserve"> </w:t>
      </w:r>
      <w:r w:rsidRPr="00F36726">
        <w:rPr>
          <w:rStyle w:val="City"/>
        </w:rPr>
        <w:t>Sofia</w:t>
      </w:r>
      <w:r w:rsidRPr="00586A35">
        <w:rPr>
          <w:sz w:val="20"/>
          <w14:ligatures w14:val="standard"/>
        </w:rPr>
        <w:br/>
      </w:r>
      <w:r w:rsidR="00586A35" w:rsidRPr="00586A35">
        <w:rPr>
          <w:sz w:val="20"/>
          <w14:ligatures w14:val="standard"/>
        </w:rPr>
        <w:t xml:space="preserve"> </w:t>
      </w:r>
      <w:r w:rsidRPr="00F36726">
        <w:rPr>
          <w:rStyle w:val="Email"/>
          <w:color w:val="auto"/>
          <w:sz w:val="20"/>
          <w14:ligatures w14:val="standard"/>
        </w:rPr>
        <w:t>ajanyan@cogs.nbu.bg</w:t>
      </w:r>
    </w:p>
    <w:p w:rsidR="00586A35" w:rsidRPr="00586A35" w:rsidRDefault="00586A35" w:rsidP="00694749">
      <w:pPr>
        <w:pStyle w:val="TitleNote"/>
        <w:rPr>
          <w:rFonts w:ascii="Cambria Math" w:hAnsi="Cambria Math" w:cs="Cambria Math"/>
          <w:bCs/>
          <w:color w:val="auto"/>
          <w:vertAlign w:val="superscript"/>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rsidR="00694749" w:rsidRPr="00586A35" w:rsidRDefault="00694749" w:rsidP="00694749">
      <w:pPr>
        <w:pStyle w:val="AuthNotes"/>
        <w:rPr>
          <w:color w:val="auto"/>
          <w14:ligatures w14:val="standard"/>
        </w:rPr>
      </w:pPr>
    </w:p>
    <w:p w:rsidR="00586A35" w:rsidRPr="00586A35" w:rsidRDefault="00586A35" w:rsidP="00694749">
      <w:pPr>
        <w:pStyle w:val="AbsHead"/>
        <w:rPr>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rsidR="0007392C" w:rsidRPr="00586A35" w:rsidRDefault="007A502C" w:rsidP="00694749">
      <w:pPr>
        <w:pStyle w:val="AbsHead"/>
        <w:rPr>
          <w14:ligatures w14:val="standard"/>
        </w:rPr>
      </w:pPr>
      <w:r w:rsidRPr="00586A35">
        <w:rPr>
          <w14:ligatures w14:val="standard"/>
        </w:rPr>
        <w:t>ABSTRACT</w:t>
      </w:r>
    </w:p>
    <w:p w:rsidR="00DF15B7" w:rsidRDefault="00DF15B7" w:rsidP="00B4052C">
      <w:pPr>
        <w:pStyle w:val="FootnoteText"/>
        <w:framePr w:w="4680" w:h="1441" w:hRule="exact" w:hSpace="187" w:wrap="around" w:vAnchor="page" w:hAnchor="page" w:x="1089" w:y="12601" w:anchorLock="1"/>
        <w:rPr>
          <w:rFonts w:eastAsia="Verdana"/>
          <w:sz w:val="18"/>
          <w14:ligatures w14:val="standard"/>
        </w:rPr>
      </w:pPr>
      <w:r w:rsidRPr="00DF15B7">
        <w:rPr>
          <w:rFonts w:eastAsia="Verdana"/>
          <w:sz w:val="18"/>
          <w14:ligatures w14:val="standard"/>
        </w:rPr>
        <w:t xml:space="preserve">Gaze cueing—the tendency to shift attention in the direction of another’s gaze—is a core component of non-verbal communication and joint attention. While extensively studied, little is known about how internal states like the sense of agency influence sensitivity to gaze cues. In this study, we </w:t>
      </w:r>
      <w:r w:rsidRPr="00DF15B7">
        <w:rPr>
          <w:rFonts w:eastAsia="Verdana"/>
          <w:sz w:val="18"/>
          <w14:ligatures w14:val="standard"/>
        </w:rPr>
        <w:t>investigate</w:t>
      </w:r>
      <w:r w:rsidRPr="00DF15B7">
        <w:rPr>
          <w:rFonts w:eastAsia="Verdana"/>
          <w:sz w:val="18"/>
          <w14:ligatures w14:val="standard"/>
        </w:rPr>
        <w:t xml:space="preserve"> how perceived control over action modulates gaze cueing effects in a color categorization task. Participants viewed dynamic synthetic faces with lateral pupil motion, followed by the appearance of a colored target either to the left or right of the face. During each trial, participants either passively observed the stimulus onset (passive condition), or actively initiated it by selecting a direction.  Crucially, in active trials, the gaze could be congruent or incongruent with the chosen direction, allowing us to examine how</w:t>
      </w:r>
      <w:r>
        <w:rPr>
          <w:rFonts w:eastAsia="Verdana"/>
          <w:sz w:val="18"/>
          <w14:ligatures w14:val="standard"/>
        </w:rPr>
        <w:t xml:space="preserve"> violations </w:t>
      </w:r>
      <w:r w:rsidRPr="00DF15B7">
        <w:rPr>
          <w:rFonts w:eastAsia="Verdana"/>
          <w:sz w:val="18"/>
          <w14:ligatures w14:val="standard"/>
        </w:rPr>
        <w:t xml:space="preserve">or confirmations of expected outcomes influence predictive mechanisms that shape the sense of agency and modulate gaze cueing responses. This created a 3 (action–gaze relationship) × 2 (gaze–target congruency) design. Results revealed that </w:t>
      </w:r>
      <w:r w:rsidRPr="00F36726">
        <w:rPr>
          <w:rFonts w:eastAsia="Verdana"/>
          <w:sz w:val="18"/>
          <w:highlight w:val="yellow"/>
          <w14:ligatures w14:val="standard"/>
        </w:rPr>
        <w:t>..........................</w:t>
      </w:r>
      <w:r w:rsidRPr="00DF15B7">
        <w:rPr>
          <w:rFonts w:eastAsia="Verdana"/>
          <w:sz w:val="18"/>
          <w14:ligatures w14:val="standard"/>
        </w:rPr>
        <w:t xml:space="preserve"> These findings suggest </w:t>
      </w:r>
      <w:r w:rsidRPr="00F36726">
        <w:rPr>
          <w:rFonts w:eastAsia="Verdana"/>
          <w:sz w:val="18"/>
          <w:highlight w:val="yellow"/>
          <w14:ligatures w14:val="standard"/>
        </w:rPr>
        <w:t>...........................................</w:t>
      </w:r>
      <w:r w:rsidRPr="00DF15B7">
        <w:rPr>
          <w:rFonts w:eastAsia="Verdana"/>
          <w:sz w:val="18"/>
          <w14:ligatures w14:val="standard"/>
        </w:rPr>
        <w:t xml:space="preserve"> </w:t>
      </w:r>
    </w:p>
    <w:p w:rsidR="00B4052C" w:rsidRPr="00F36726" w:rsidRDefault="00B4052C" w:rsidP="00B4052C">
      <w:pPr>
        <w:pStyle w:val="FootnoteText"/>
        <w:framePr w:w="4680" w:h="1441" w:hRule="exact" w:hSpace="187" w:wrap="around" w:vAnchor="page" w:hAnchor="page" w:x="1089" w:y="12601" w:anchorLock="1"/>
        <w:rPr>
          <w:highlight w:val="yellow"/>
        </w:rPr>
      </w:pPr>
      <w:r w:rsidRPr="00F36726">
        <w:rPr>
          <w:highlight w:val="yellow"/>
          <w:vertAlign w:val="superscript"/>
        </w:rPr>
        <w:t>∗</w:t>
      </w:r>
      <w:r w:rsidRPr="00F36726">
        <w:rPr>
          <w:highlight w:val="yellow"/>
        </w:rPr>
        <w:t>Article Title Footnote needs to be captured as Title Note</w:t>
      </w:r>
    </w:p>
    <w:p w:rsidR="00B4052C" w:rsidRPr="00F36726" w:rsidRDefault="00B4052C" w:rsidP="00B4052C">
      <w:pPr>
        <w:pStyle w:val="FootnoteText"/>
        <w:framePr w:w="4680" w:h="1441" w:hRule="exact" w:hSpace="187" w:wrap="around" w:vAnchor="page" w:hAnchor="page" w:x="1089" w:y="12601" w:anchorLock="1"/>
        <w:rPr>
          <w:highlight w:val="yellow"/>
        </w:rPr>
      </w:pPr>
      <w:r w:rsidRPr="00F36726">
        <w:rPr>
          <w:highlight w:val="yellow"/>
          <w:vertAlign w:val="superscript"/>
        </w:rPr>
        <w:t>†</w:t>
      </w:r>
      <w:r w:rsidRPr="00F36726">
        <w:rPr>
          <w:highlight w:val="yellow"/>
        </w:rPr>
        <w:t>Author Footnote to be captured as Author Note</w:t>
      </w:r>
    </w:p>
    <w:p w:rsidR="00B4052C" w:rsidRPr="00F36726" w:rsidRDefault="00B4052C" w:rsidP="00B4052C">
      <w:pPr>
        <w:pStyle w:val="PermissionBlock"/>
        <w:framePr w:w="4680" w:h="1441" w:hRule="exact" w:hSpace="187" w:wrap="around" w:vAnchor="page" w:hAnchor="page" w:x="1089" w:y="12601" w:anchorLock="1"/>
        <w:rPr>
          <w:highlight w:val="yellow"/>
        </w:rPr>
      </w:pPr>
      <w:r w:rsidRPr="00F36726">
        <w:rPr>
          <w:highlight w:val="yellow"/>
        </w:rPr>
        <w:t>Permission to make digital or hard copies of part or all of this work for personal or classroom use is granted without fee provided that copies are not made or distributed for profit or commercial advantage and that copies bear this notice and the full citation on the first page. Copyrights for third-party components of this work must be honored. For all other uses, contact the owner/author(s).</w:t>
      </w:r>
    </w:p>
    <w:p w:rsidR="00B4052C" w:rsidRPr="00F36726" w:rsidRDefault="00B4052C" w:rsidP="00B4052C">
      <w:pPr>
        <w:pStyle w:val="VersoLRH"/>
        <w:framePr w:w="4680" w:h="1441" w:hRule="exact" w:hSpace="187" w:wrap="around" w:vAnchor="page" w:hAnchor="page" w:x="1089" w:y="12601" w:anchorLock="1"/>
        <w:rPr>
          <w:i/>
          <w:highlight w:val="yellow"/>
        </w:rPr>
      </w:pPr>
      <w:r w:rsidRPr="00F36726">
        <w:rPr>
          <w:i/>
          <w:highlight w:val="yellow"/>
        </w:rPr>
        <w:t>WOODSTOCK’18, June, 2018, El Paso, Texas USA</w:t>
      </w:r>
    </w:p>
    <w:p w:rsidR="00B4052C" w:rsidRPr="00F36726" w:rsidRDefault="00B4052C" w:rsidP="00B4052C">
      <w:pPr>
        <w:pStyle w:val="PermissionBlock"/>
        <w:framePr w:w="4680" w:h="1441" w:hRule="exact" w:hSpace="187" w:wrap="around" w:vAnchor="page" w:hAnchor="page" w:x="1089" w:y="12601" w:anchorLock="1"/>
        <w:rPr>
          <w:highlight w:val="yellow"/>
        </w:rPr>
      </w:pPr>
      <w:r w:rsidRPr="00F36726">
        <w:rPr>
          <w:highlight w:val="yellow"/>
        </w:rPr>
        <w:t>© 2018 Copyright held by the owner/author(s). 978-1-4503-0000-0/18/06...$15.00</w:t>
      </w:r>
    </w:p>
    <w:p w:rsidR="00B4052C" w:rsidRPr="00F36726" w:rsidRDefault="00B4052C" w:rsidP="00B4052C">
      <w:pPr>
        <w:framePr w:w="4680" w:h="1441" w:hRule="exact" w:hSpace="187" w:wrap="around" w:vAnchor="page" w:hAnchor="page" w:x="1089" w:y="12601" w:anchorLock="1"/>
        <w:rPr>
          <w:iCs/>
          <w:highlight w:val="yellow"/>
          <w14:ligatures w14:val="standard"/>
        </w:rPr>
      </w:pPr>
      <w:r w:rsidRPr="00F36726">
        <w:rPr>
          <w:highlight w:val="yellow"/>
        </w:rPr>
        <w:t>https://doi.org/10.1145/1234567890</w:t>
      </w:r>
    </w:p>
    <w:p w:rsidR="006F050A" w:rsidRPr="00F36726" w:rsidRDefault="00E87E12" w:rsidP="007A502C">
      <w:pPr>
        <w:pStyle w:val="Abstract"/>
        <w:rPr>
          <w:highlight w:val="yellow"/>
          <w14:ligatures w14:val="standard"/>
        </w:rPr>
      </w:pPr>
      <w:r w:rsidRPr="00F36726">
        <w:rPr>
          <w:highlight w:val="yellow"/>
          <w14:ligatures w14:val="standard"/>
        </w:rPr>
        <w:t>S</w:t>
      </w:r>
      <w:r w:rsidR="0014244B" w:rsidRPr="00F36726">
        <w:rPr>
          <w:highlight w:val="yellow"/>
          <w14:ligatures w14:val="standard"/>
        </w:rPr>
        <w:t xml:space="preserve">ome specific values are required to create a standard layout </w:t>
      </w:r>
      <w:r w:rsidR="00AB2327" w:rsidRPr="00F36726">
        <w:rPr>
          <w:highlight w:val="yellow"/>
          <w14:ligatures w14:val="standard"/>
        </w:rPr>
        <w:t>by choosing a</w:t>
      </w:r>
      <w:r w:rsidR="0014244B" w:rsidRPr="00F36726">
        <w:rPr>
          <w:highlight w:val="yellow"/>
          <w14:ligatures w14:val="standard"/>
        </w:rPr>
        <w:t xml:space="preserve"> template for the journals or proceedings. So once </w:t>
      </w:r>
      <w:r w:rsidR="00AB2327" w:rsidRPr="00F36726">
        <w:rPr>
          <w:highlight w:val="yellow"/>
          <w14:ligatures w14:val="standard"/>
        </w:rPr>
        <w:t xml:space="preserve">the </w:t>
      </w:r>
      <w:r w:rsidR="0014244B" w:rsidRPr="00F36726">
        <w:rPr>
          <w:highlight w:val="yellow"/>
          <w14:ligatures w14:val="standard"/>
        </w:rPr>
        <w:t>user choose</w:t>
      </w:r>
      <w:r w:rsidR="00AB2327" w:rsidRPr="00F36726">
        <w:rPr>
          <w:highlight w:val="yellow"/>
          <w14:ligatures w14:val="standard"/>
        </w:rPr>
        <w:t>s</w:t>
      </w:r>
      <w:r w:rsidR="0014244B" w:rsidRPr="00F36726">
        <w:rPr>
          <w:highlight w:val="yellow"/>
          <w14:ligatures w14:val="standard"/>
        </w:rPr>
        <w:t xml:space="preserve"> </w:t>
      </w:r>
      <w:r w:rsidR="000713CD" w:rsidRPr="00F36726">
        <w:rPr>
          <w:highlight w:val="yellow"/>
          <w14:ligatures w14:val="standard"/>
        </w:rPr>
        <w:t>one of the template layout style</w:t>
      </w:r>
      <w:r w:rsidR="00AB2327" w:rsidRPr="00F36726">
        <w:rPr>
          <w:highlight w:val="yellow"/>
          <w14:ligatures w14:val="standard"/>
        </w:rPr>
        <w:t>s</w:t>
      </w:r>
      <w:r w:rsidR="000713CD" w:rsidRPr="00F36726">
        <w:rPr>
          <w:highlight w:val="yellow"/>
          <w14:ligatures w14:val="standard"/>
        </w:rPr>
        <w:t>,</w:t>
      </w:r>
      <w:r w:rsidR="00DC112E" w:rsidRPr="00F36726">
        <w:rPr>
          <w:highlight w:val="yellow"/>
          <w14:ligatures w14:val="standard"/>
        </w:rPr>
        <w:t xml:space="preserve"> the respective Journal </w:t>
      </w:r>
      <w:r w:rsidR="000713CD" w:rsidRPr="00F36726">
        <w:rPr>
          <w:highlight w:val="yellow"/>
          <w14:ligatures w14:val="standard"/>
        </w:rPr>
        <w:t>or</w:t>
      </w:r>
      <w:r w:rsidR="00DC112E" w:rsidRPr="00F36726">
        <w:rPr>
          <w:highlight w:val="yellow"/>
          <w14:ligatures w14:val="standard"/>
        </w:rPr>
        <w:t xml:space="preserve"> Conference details dialog box</w:t>
      </w:r>
      <w:r w:rsidR="00127D30" w:rsidRPr="00F36726">
        <w:rPr>
          <w:highlight w:val="yellow"/>
          <w14:ligatures w14:val="standard"/>
        </w:rPr>
        <w:t xml:space="preserve"> (i.e. </w:t>
      </w:r>
      <w:r w:rsidR="00127D30" w:rsidRPr="00F36726">
        <w:rPr>
          <w:b/>
          <w:highlight w:val="yellow"/>
          <w14:ligatures w14:val="standard"/>
        </w:rPr>
        <w:t xml:space="preserve">journal/conference </w:t>
      </w:r>
      <w:r w:rsidR="000739F9" w:rsidRPr="00F36726">
        <w:rPr>
          <w:b/>
          <w:highlight w:val="yellow"/>
          <w14:ligatures w14:val="standard"/>
        </w:rPr>
        <w:t>acronym</w:t>
      </w:r>
      <w:r w:rsidR="00127D30" w:rsidRPr="00F36726">
        <w:rPr>
          <w:b/>
          <w:highlight w:val="yellow"/>
          <w14:ligatures w14:val="standard"/>
        </w:rPr>
        <w:t xml:space="preserve">, </w:t>
      </w:r>
      <w:r w:rsidR="00F74DA3" w:rsidRPr="00F36726">
        <w:rPr>
          <w:b/>
          <w:highlight w:val="yellow"/>
          <w14:ligatures w14:val="standard"/>
        </w:rPr>
        <w:t>DOI</w:t>
      </w:r>
      <w:r w:rsidR="00127D30" w:rsidRPr="00F36726">
        <w:rPr>
          <w:b/>
          <w:highlight w:val="yellow"/>
          <w14:ligatures w14:val="standard"/>
        </w:rPr>
        <w:t xml:space="preserve">, </w:t>
      </w:r>
      <w:r w:rsidR="00F74DA3" w:rsidRPr="00F36726">
        <w:rPr>
          <w:b/>
          <w:highlight w:val="yellow"/>
          <w14:ligatures w14:val="standard"/>
        </w:rPr>
        <w:t>ISBN</w:t>
      </w:r>
      <w:r w:rsidR="000713CD" w:rsidRPr="00F36726">
        <w:rPr>
          <w:b/>
          <w:highlight w:val="yellow"/>
          <w14:ligatures w14:val="standard"/>
        </w:rPr>
        <w:t>,</w:t>
      </w:r>
      <w:r w:rsidR="00127D30" w:rsidRPr="00F36726">
        <w:rPr>
          <w:b/>
          <w:highlight w:val="yellow"/>
          <w14:ligatures w14:val="standard"/>
        </w:rPr>
        <w:t xml:space="preserve"> copyright</w:t>
      </w:r>
      <w:r w:rsidR="000739F9" w:rsidRPr="00F36726">
        <w:rPr>
          <w:b/>
          <w:highlight w:val="yellow"/>
          <w14:ligatures w14:val="standard"/>
        </w:rPr>
        <w:t>,</w:t>
      </w:r>
      <w:r w:rsidR="00127D30" w:rsidRPr="00F36726">
        <w:rPr>
          <w:b/>
          <w:highlight w:val="yellow"/>
          <w14:ligatures w14:val="standard"/>
        </w:rPr>
        <w:t xml:space="preserve"> </w:t>
      </w:r>
      <w:r w:rsidR="000739F9" w:rsidRPr="00F36726">
        <w:rPr>
          <w:b/>
          <w:highlight w:val="yellow"/>
          <w14:ligatures w14:val="standard"/>
        </w:rPr>
        <w:t>year</w:t>
      </w:r>
      <w:r w:rsidR="00F74DA3" w:rsidRPr="00F36726">
        <w:rPr>
          <w:b/>
          <w:highlight w:val="yellow"/>
          <w14:ligatures w14:val="standard"/>
        </w:rPr>
        <w:t>,</w:t>
      </w:r>
      <w:r w:rsidR="000739F9" w:rsidRPr="00F36726">
        <w:rPr>
          <w:b/>
          <w:highlight w:val="yellow"/>
          <w14:ligatures w14:val="standard"/>
        </w:rPr>
        <w:t xml:space="preserve"> </w:t>
      </w:r>
      <w:r w:rsidR="00127D30" w:rsidRPr="00F36726">
        <w:rPr>
          <w:b/>
          <w:highlight w:val="yellow"/>
          <w14:ligatures w14:val="standard"/>
        </w:rPr>
        <w:t>etc.</w:t>
      </w:r>
      <w:r w:rsidR="00127D30" w:rsidRPr="00F36726">
        <w:rPr>
          <w:highlight w:val="yellow"/>
          <w14:ligatures w14:val="standard"/>
        </w:rPr>
        <w:t>)</w:t>
      </w:r>
      <w:r w:rsidR="006F050A" w:rsidRPr="00F36726">
        <w:rPr>
          <w:highlight w:val="yellow"/>
          <w14:ligatures w14:val="standard"/>
        </w:rPr>
        <w:t xml:space="preserve"> </w:t>
      </w:r>
      <w:r w:rsidR="00AB2327" w:rsidRPr="00F36726">
        <w:rPr>
          <w:highlight w:val="yellow"/>
          <w14:ligatures w14:val="standard"/>
        </w:rPr>
        <w:t>will appear as a</w:t>
      </w:r>
      <w:r w:rsidR="006F050A" w:rsidRPr="00F36726">
        <w:rPr>
          <w:highlight w:val="yellow"/>
          <w14:ligatures w14:val="standard"/>
        </w:rPr>
        <w:t xml:space="preserve"> prompt during </w:t>
      </w:r>
      <w:r w:rsidR="00C41AE1" w:rsidRPr="00F36726">
        <w:rPr>
          <w:highlight w:val="yellow"/>
          <w14:ligatures w14:val="standard"/>
        </w:rPr>
        <w:t xml:space="preserve">the </w:t>
      </w:r>
      <w:r w:rsidR="006F050A" w:rsidRPr="00F36726">
        <w:rPr>
          <w:highlight w:val="yellow"/>
          <w14:ligatures w14:val="standard"/>
        </w:rPr>
        <w:t xml:space="preserve">Define </w:t>
      </w:r>
      <w:r w:rsidR="00C41AE1" w:rsidRPr="00F36726">
        <w:rPr>
          <w:highlight w:val="yellow"/>
          <w14:ligatures w14:val="standard"/>
        </w:rPr>
        <w:t>Template Style</w:t>
      </w:r>
      <w:r w:rsidR="006F050A" w:rsidRPr="00F36726">
        <w:rPr>
          <w:highlight w:val="yellow"/>
          <w14:ligatures w14:val="standard"/>
        </w:rPr>
        <w:t xml:space="preserve"> functionality</w:t>
      </w:r>
      <w:r w:rsidR="00DC112E" w:rsidRPr="00F36726">
        <w:rPr>
          <w:highlight w:val="yellow"/>
          <w14:ligatures w14:val="standard"/>
        </w:rPr>
        <w:t xml:space="preserve">. </w:t>
      </w:r>
      <w:r w:rsidR="000713CD" w:rsidRPr="00F36726">
        <w:rPr>
          <w:highlight w:val="yellow"/>
          <w14:ligatures w14:val="standard"/>
        </w:rPr>
        <w:t>The user should fill these values</w:t>
      </w:r>
      <w:r w:rsidR="00321DDC" w:rsidRPr="00F36726">
        <w:rPr>
          <w:highlight w:val="yellow"/>
          <w14:ligatures w14:val="standard"/>
        </w:rPr>
        <w:t>,</w:t>
      </w:r>
      <w:r w:rsidR="000713CD" w:rsidRPr="00F36726">
        <w:rPr>
          <w:highlight w:val="yellow"/>
          <w14:ligatures w14:val="standard"/>
        </w:rPr>
        <w:t xml:space="preserve"> </w:t>
      </w:r>
      <w:r w:rsidR="00321DDC" w:rsidRPr="00F36726">
        <w:rPr>
          <w:highlight w:val="yellow"/>
          <w14:ligatures w14:val="standard"/>
        </w:rPr>
        <w:t>after</w:t>
      </w:r>
      <w:r w:rsidR="000713CD" w:rsidRPr="00F36726">
        <w:rPr>
          <w:highlight w:val="yellow"/>
          <w14:ligatures w14:val="standard"/>
        </w:rPr>
        <w:t xml:space="preserve"> </w:t>
      </w:r>
      <w:r w:rsidR="00321DDC" w:rsidRPr="00F36726">
        <w:rPr>
          <w:highlight w:val="yellow"/>
          <w14:ligatures w14:val="standard"/>
        </w:rPr>
        <w:t>which the</w:t>
      </w:r>
      <w:r w:rsidR="000713CD" w:rsidRPr="00F36726">
        <w:rPr>
          <w:highlight w:val="yellow"/>
          <w14:ligatures w14:val="standard"/>
        </w:rPr>
        <w:t xml:space="preserve"> template creates </w:t>
      </w:r>
      <w:r w:rsidR="00321DDC" w:rsidRPr="00F36726">
        <w:rPr>
          <w:highlight w:val="yellow"/>
          <w14:ligatures w14:val="standard"/>
        </w:rPr>
        <w:t>the</w:t>
      </w:r>
      <w:r w:rsidR="000713CD" w:rsidRPr="00F36726">
        <w:rPr>
          <w:highlight w:val="yellow"/>
          <w14:ligatures w14:val="standard"/>
        </w:rPr>
        <w:t xml:space="preserve"> desired layout of the paper. </w:t>
      </w:r>
      <w:r w:rsidR="00321DDC" w:rsidRPr="00F36726">
        <w:rPr>
          <w:highlight w:val="yellow"/>
          <w14:ligatures w14:val="standard"/>
        </w:rPr>
        <w:t>The u</w:t>
      </w:r>
      <w:r w:rsidR="00127D30" w:rsidRPr="00F36726">
        <w:rPr>
          <w:highlight w:val="yellow"/>
          <w14:ligatures w14:val="standard"/>
        </w:rPr>
        <w:t>ser can now</w:t>
      </w:r>
      <w:r w:rsidR="00DC112E" w:rsidRPr="00F36726">
        <w:rPr>
          <w:highlight w:val="yellow"/>
          <w14:ligatures w14:val="standard"/>
        </w:rPr>
        <w:t xml:space="preserve"> create </w:t>
      </w:r>
      <w:r w:rsidR="00321DDC" w:rsidRPr="00F36726">
        <w:rPr>
          <w:highlight w:val="yellow"/>
          <w14:ligatures w14:val="standard"/>
        </w:rPr>
        <w:t xml:space="preserve">a </w:t>
      </w:r>
      <w:r w:rsidR="00DC112E" w:rsidRPr="00F36726">
        <w:rPr>
          <w:highlight w:val="yellow"/>
          <w14:ligatures w14:val="standard"/>
        </w:rPr>
        <w:t xml:space="preserve">PDF of </w:t>
      </w:r>
      <w:r w:rsidR="00127D30" w:rsidRPr="00F36726">
        <w:rPr>
          <w:highlight w:val="yellow"/>
          <w14:ligatures w14:val="standard"/>
        </w:rPr>
        <w:t>his/her</w:t>
      </w:r>
      <w:r w:rsidR="00DC112E" w:rsidRPr="00F36726">
        <w:rPr>
          <w:highlight w:val="yellow"/>
          <w14:ligatures w14:val="standard"/>
        </w:rPr>
        <w:t xml:space="preserve"> manuscript using </w:t>
      </w:r>
      <w:r w:rsidR="00321DDC" w:rsidRPr="00F36726">
        <w:rPr>
          <w:highlight w:val="yellow"/>
          <w14:ligatures w14:val="standard"/>
        </w:rPr>
        <w:t xml:space="preserve">the </w:t>
      </w:r>
      <w:r w:rsidR="00DC112E" w:rsidRPr="00F36726">
        <w:rPr>
          <w:highlight w:val="yellow"/>
          <w14:ligatures w14:val="standard"/>
        </w:rPr>
        <w:t>“</w:t>
      </w:r>
      <w:r w:rsidR="00DC112E" w:rsidRPr="00F36726">
        <w:rPr>
          <w:i/>
          <w:highlight w:val="yellow"/>
          <w14:ligatures w14:val="standard"/>
        </w:rPr>
        <w:t>Save as PDF</w:t>
      </w:r>
      <w:r w:rsidR="00DC112E" w:rsidRPr="00F36726">
        <w:rPr>
          <w:highlight w:val="yellow"/>
          <w14:ligatures w14:val="standard"/>
        </w:rPr>
        <w:t>” option.</w:t>
      </w:r>
    </w:p>
    <w:p w:rsidR="00F30418" w:rsidRPr="00586A35" w:rsidRDefault="00DC112E" w:rsidP="007A502C">
      <w:pPr>
        <w:pStyle w:val="Abstract"/>
        <w:rPr>
          <w:lang w:val="en-GB" w:eastAsia="ja-JP"/>
          <w14:ligatures w14:val="standard"/>
        </w:rPr>
      </w:pPr>
      <w:r w:rsidRPr="00F36726">
        <w:rPr>
          <w:rFonts w:eastAsia="Verdana"/>
          <w:highlight w:val="yellow"/>
          <w14:ligatures w14:val="standard"/>
        </w:rPr>
        <w:t>If</w:t>
      </w:r>
      <w:r w:rsidRPr="00F36726">
        <w:rPr>
          <w:highlight w:val="yellow"/>
          <w14:ligatures w14:val="standard"/>
        </w:rPr>
        <w:t xml:space="preserve"> </w:t>
      </w:r>
      <w:r w:rsidR="00052A1A" w:rsidRPr="00F36726">
        <w:rPr>
          <w:highlight w:val="yellow"/>
          <w14:ligatures w14:val="standard"/>
        </w:rPr>
        <w:t xml:space="preserve">the </w:t>
      </w:r>
      <w:r w:rsidR="00127D30" w:rsidRPr="00F36726">
        <w:rPr>
          <w:highlight w:val="yellow"/>
          <w14:ligatures w14:val="standard"/>
        </w:rPr>
        <w:t>user</w:t>
      </w:r>
      <w:r w:rsidRPr="00F36726">
        <w:rPr>
          <w:highlight w:val="yellow"/>
          <w14:ligatures w14:val="standard"/>
        </w:rPr>
        <w:t xml:space="preserve"> </w:t>
      </w:r>
      <w:r w:rsidR="00127D30" w:rsidRPr="00F36726">
        <w:rPr>
          <w:highlight w:val="yellow"/>
          <w14:ligatures w14:val="standard"/>
        </w:rPr>
        <w:t>is</w:t>
      </w:r>
      <w:r w:rsidRPr="00F36726">
        <w:rPr>
          <w:highlight w:val="yellow"/>
          <w14:ligatures w14:val="standard"/>
        </w:rPr>
        <w:t xml:space="preserve"> adding any new data, </w:t>
      </w:r>
      <w:r w:rsidR="00C4538D" w:rsidRPr="00F36726">
        <w:rPr>
          <w:highlight w:val="yellow"/>
          <w14:ligatures w14:val="standard"/>
        </w:rPr>
        <w:t>they should</w:t>
      </w:r>
      <w:r w:rsidRPr="00F36726">
        <w:rPr>
          <w:highlight w:val="yellow"/>
          <w14:ligatures w14:val="standard"/>
        </w:rPr>
        <w:t xml:space="preserve"> make sure to style it as per the instructions provided in previous sections. Carry out the steps for Cross-linking, Fundref data, adding Document History (specific to</w:t>
      </w:r>
      <w:r w:rsidR="00C4538D" w:rsidRPr="00F36726">
        <w:rPr>
          <w:highlight w:val="yellow"/>
          <w14:ligatures w14:val="standard"/>
        </w:rPr>
        <w:t xml:space="preserve"> jour</w:t>
      </w:r>
      <w:r w:rsidRPr="00F36726">
        <w:rPr>
          <w:highlight w:val="yellow"/>
          <w14:ligatures w14:val="standard"/>
        </w:rPr>
        <w:t>nal submission)</w:t>
      </w:r>
      <w:r w:rsidR="00C4538D" w:rsidRPr="00F36726">
        <w:rPr>
          <w:highlight w:val="yellow"/>
          <w14:ligatures w14:val="standard"/>
        </w:rPr>
        <w:t>,</w:t>
      </w:r>
      <w:r w:rsidRPr="00F36726">
        <w:rPr>
          <w:highlight w:val="yellow"/>
          <w14:ligatures w14:val="standard"/>
        </w:rPr>
        <w:t xml:space="preserve"> and finally</w:t>
      </w:r>
      <w:r w:rsidR="00C4538D" w:rsidRPr="00F36726">
        <w:rPr>
          <w:highlight w:val="yellow"/>
          <w14:ligatures w14:val="standard"/>
        </w:rPr>
        <w:t>,</w:t>
      </w:r>
      <w:r w:rsidRPr="00F36726">
        <w:rPr>
          <w:highlight w:val="yellow"/>
          <w14:ligatures w14:val="standard"/>
        </w:rPr>
        <w:t xml:space="preserve"> Manuscript validation and placing the respective metadata (</w:t>
      </w:r>
      <w:proofErr w:type="spellStart"/>
      <w:r w:rsidRPr="00F36726">
        <w:rPr>
          <w:highlight w:val="yellow"/>
          <w14:ligatures w14:val="standard"/>
        </w:rPr>
        <w:t>Bibstrip</w:t>
      </w:r>
      <w:proofErr w:type="spellEnd"/>
      <w:r w:rsidRPr="00F36726">
        <w:rPr>
          <w:highlight w:val="yellow"/>
          <w14:ligatures w14:val="standard"/>
        </w:rPr>
        <w:t>/copyright text)</w:t>
      </w:r>
      <w:r w:rsidRPr="00F36726">
        <w:rPr>
          <w:rStyle w:val="FootnoteReference"/>
          <w:highlight w:val="yellow"/>
          <w14:ligatures w14:val="standard"/>
        </w:rPr>
        <w:footnoteReference w:id="2"/>
      </w:r>
      <w:r w:rsidRPr="00F36726">
        <w:rPr>
          <w:highlight w:val="yellow"/>
          <w14:ligatures w14:val="standard"/>
        </w:rPr>
        <w:t xml:space="preserve"> while applying the required template.</w:t>
      </w:r>
    </w:p>
    <w:p w:rsidR="0007392C" w:rsidRPr="00586A35" w:rsidRDefault="00675128" w:rsidP="00675128">
      <w:pPr>
        <w:pStyle w:val="CCSHead"/>
        <w:rPr>
          <w:lang w:eastAsia="it-IT"/>
          <w14:ligatures w14:val="standard"/>
        </w:rPr>
      </w:pPr>
      <w:r w:rsidRPr="00586A35">
        <w:rPr>
          <w:lang w:eastAsia="it-IT"/>
          <w14:ligatures w14:val="standard"/>
        </w:rPr>
        <w:t>CCS CONCEPTS</w:t>
      </w:r>
    </w:p>
    <w:p w:rsidR="007D3C28" w:rsidRPr="00586A35" w:rsidRDefault="003C3338" w:rsidP="00675128">
      <w:pPr>
        <w:pStyle w:val="CCSDescription"/>
        <w:rPr>
          <w:rFonts w:cs="Linux Libertine"/>
          <w14:ligatures w14:val="standard"/>
        </w:rPr>
      </w:pPr>
      <w:r w:rsidRPr="00586A35">
        <w:rPr>
          <w14:ligatures w14:val="standard"/>
        </w:rPr>
        <w:t>• </w:t>
      </w:r>
      <w:r w:rsidR="00B46551" w:rsidRPr="00F36726">
        <w:rPr>
          <w:highlight w:val="yellow"/>
          <w:lang w:eastAsia="it-IT"/>
          <w14:ligatures w14:val="standard"/>
        </w:rPr>
        <w:t>Insert CCS text</w:t>
      </w:r>
      <w:r w:rsidRPr="00F36726">
        <w:rPr>
          <w:highlight w:val="yellow"/>
          <w14:ligatures w14:val="standard"/>
        </w:rPr>
        <w:t> </w:t>
      </w:r>
      <w:r w:rsidR="00B46551" w:rsidRPr="00F36726">
        <w:rPr>
          <w:highlight w:val="yellow"/>
          <w14:ligatures w14:val="standard"/>
        </w:rPr>
        <w:t>here</w:t>
      </w:r>
      <w:r w:rsidRPr="00F36726">
        <w:rPr>
          <w:highlight w:val="yellow"/>
          <w14:ligatures w14:val="standard"/>
        </w:rPr>
        <w:t xml:space="preserve"> • </w:t>
      </w:r>
      <w:r w:rsidR="00B46551" w:rsidRPr="00F36726">
        <w:rPr>
          <w:highlight w:val="yellow"/>
          <w:lang w:eastAsia="it-IT"/>
          <w14:ligatures w14:val="standard"/>
        </w:rPr>
        <w:t>Insert CCS text</w:t>
      </w:r>
      <w:r w:rsidR="00B46551" w:rsidRPr="00F36726">
        <w:rPr>
          <w:highlight w:val="yellow"/>
          <w14:ligatures w14:val="standard"/>
        </w:rPr>
        <w:t> here</w:t>
      </w:r>
      <w:r w:rsidRPr="00F36726">
        <w:rPr>
          <w:highlight w:val="yellow"/>
          <w14:ligatures w14:val="standard"/>
        </w:rPr>
        <w:t>   • </w:t>
      </w:r>
      <w:r w:rsidR="00B46551" w:rsidRPr="00F36726">
        <w:rPr>
          <w:highlight w:val="yellow"/>
          <w:lang w:eastAsia="it-IT"/>
          <w14:ligatures w14:val="standard"/>
        </w:rPr>
        <w:t>Insert CCS text</w:t>
      </w:r>
      <w:r w:rsidR="00B46551" w:rsidRPr="00F36726">
        <w:rPr>
          <w:highlight w:val="yellow"/>
          <w14:ligatures w14:val="standard"/>
        </w:rPr>
        <w:t> here</w:t>
      </w:r>
    </w:p>
    <w:p w:rsidR="0007392C" w:rsidRPr="00586A35" w:rsidRDefault="00675128" w:rsidP="00675128">
      <w:pPr>
        <w:pStyle w:val="KeyWordHead"/>
        <w:rPr>
          <w:lang w:eastAsia="it-IT"/>
          <w14:ligatures w14:val="standard"/>
        </w:rPr>
      </w:pPr>
      <w:r w:rsidRPr="00586A35">
        <w:rPr>
          <w:lang w:eastAsia="it-IT"/>
          <w14:ligatures w14:val="standard"/>
        </w:rPr>
        <w:t>KEYWORDS</w:t>
      </w:r>
    </w:p>
    <w:p w:rsidR="0007392C" w:rsidRPr="00586A35" w:rsidRDefault="00DF15B7" w:rsidP="00675128">
      <w:pPr>
        <w:pStyle w:val="KeyWords"/>
        <w:rPr>
          <w:lang w:eastAsia="it-IT"/>
          <w14:ligatures w14:val="standard"/>
        </w:rPr>
      </w:pPr>
      <w:r>
        <w:rPr>
          <w:lang w:eastAsia="it-IT"/>
          <w14:ligatures w14:val="standard"/>
        </w:rPr>
        <w:t>Gaze cuing, Sence of agency, social cognition</w:t>
      </w:r>
    </w:p>
    <w:p w:rsidR="00586A35" w:rsidRPr="00586A35" w:rsidRDefault="00586A35" w:rsidP="00586A35">
      <w:pPr>
        <w:pStyle w:val="RefFormatHead"/>
        <w:rPr>
          <w14:ligatures w14:val="standard"/>
        </w:rPr>
      </w:pPr>
      <w:r w:rsidRPr="00586A35">
        <w:rPr>
          <w14:ligatures w14:val="standard"/>
        </w:rPr>
        <w:t>ACM Reference format:</w:t>
      </w:r>
    </w:p>
    <w:p w:rsidR="00672ABE" w:rsidRDefault="00DF15B7" w:rsidP="00586A35">
      <w:pPr>
        <w:pStyle w:val="RefFormatPara"/>
        <w:rPr>
          <w14:ligatures w14:val="standard"/>
        </w:rPr>
      </w:pPr>
      <w:r>
        <w:rPr>
          <w14:ligatures w14:val="standard"/>
        </w:rPr>
        <w:t>Rozalina</w:t>
      </w:r>
      <w:r w:rsidR="00586A35" w:rsidRPr="00586A35">
        <w:rPr>
          <w14:ligatures w14:val="standard"/>
        </w:rPr>
        <w:t xml:space="preserve"> </w:t>
      </w:r>
      <w:r>
        <w:rPr>
          <w14:ligatures w14:val="standard"/>
        </w:rPr>
        <w:t>Petkova and</w:t>
      </w:r>
      <w:r w:rsidR="00586A35" w:rsidRPr="00586A35">
        <w:rPr>
          <w14:ligatures w14:val="standard"/>
        </w:rPr>
        <w:t xml:space="preserve"> </w:t>
      </w:r>
      <w:r>
        <w:rPr>
          <w14:ligatures w14:val="standard"/>
        </w:rPr>
        <w:t>Armine</w:t>
      </w:r>
      <w:r w:rsidR="00586A35" w:rsidRPr="00586A35">
        <w:rPr>
          <w14:ligatures w14:val="standard"/>
        </w:rPr>
        <w:t xml:space="preserve"> </w:t>
      </w:r>
      <w:r>
        <w:rPr>
          <w14:ligatures w14:val="standard"/>
        </w:rPr>
        <w:t>Janyan</w:t>
      </w:r>
      <w:r w:rsidR="00586A35" w:rsidRPr="00586A35">
        <w:rPr>
          <w14:ligatures w14:val="standard"/>
        </w:rPr>
        <w:t xml:space="preserve">. </w:t>
      </w:r>
      <w:r>
        <w:rPr>
          <w14:ligatures w14:val="standard"/>
        </w:rPr>
        <w:t>2025</w:t>
      </w:r>
      <w:r w:rsidR="00586A35" w:rsidRPr="00586A35">
        <w:rPr>
          <w14:ligatures w14:val="standard"/>
        </w:rPr>
        <w:t xml:space="preserve">. </w:t>
      </w:r>
      <w:r w:rsidRPr="00DF15B7">
        <w:rPr>
          <w:bCs/>
          <w14:ligatures w14:val="standard"/>
        </w:rPr>
        <w:t>Gaze cuing and sense of agency</w:t>
      </w:r>
      <w:r w:rsidR="00586A35" w:rsidRPr="00586A35">
        <w:rPr>
          <w:bCs/>
          <w14:ligatures w14:val="standard"/>
        </w:rPr>
        <w:t xml:space="preserve">: </w:t>
      </w:r>
      <w:r>
        <w:rPr>
          <w:bCs/>
          <w14:ligatures w14:val="standard"/>
        </w:rPr>
        <w:t>Can we influence gaze</w:t>
      </w:r>
      <w:r w:rsidR="00586A35" w:rsidRPr="00586A35">
        <w:rPr>
          <w:bCs/>
          <w14:ligatures w14:val="standard"/>
        </w:rPr>
        <w:t xml:space="preserve">. </w:t>
      </w:r>
      <w:r w:rsidR="00586A35" w:rsidRPr="00F36726">
        <w:rPr>
          <w:bCs/>
          <w:highlight w:val="yellow"/>
          <w14:ligatures w14:val="standard"/>
        </w:rPr>
        <w:t xml:space="preserve">In </w:t>
      </w:r>
      <w:r w:rsidR="00586A35" w:rsidRPr="00F36726">
        <w:rPr>
          <w:bCs/>
          <w:i/>
          <w:highlight w:val="yellow"/>
          <w14:ligatures w14:val="standard"/>
        </w:rPr>
        <w:t xml:space="preserve">Proceedings of ACM Woodstock conference (WOODSTOCK’18). ACM, New York, NY, USA, </w:t>
      </w:r>
      <w:r w:rsidR="00C14A4F" w:rsidRPr="00F36726">
        <w:rPr>
          <w:bCs/>
          <w:i/>
          <w:highlight w:val="yellow"/>
          <w14:ligatures w14:val="standard"/>
        </w:rPr>
        <w:t>2</w:t>
      </w:r>
      <w:r w:rsidR="00586A35" w:rsidRPr="00F36726">
        <w:rPr>
          <w:bCs/>
          <w:i/>
          <w:highlight w:val="yellow"/>
          <w14:ligatures w14:val="standard"/>
        </w:rPr>
        <w:t xml:space="preserve"> pages.</w:t>
      </w:r>
      <w:r w:rsidR="00586A35" w:rsidRPr="00F36726">
        <w:rPr>
          <w:highlight w:val="yellow"/>
          <w14:ligatures w14:val="standard"/>
        </w:rPr>
        <w:t xml:space="preserve"> </w:t>
      </w:r>
      <w:hyperlink r:id="rId13" w:history="1">
        <w:r w:rsidR="00672ABE" w:rsidRPr="00F36726">
          <w:rPr>
            <w:rStyle w:val="Hyperlink"/>
            <w:highlight w:val="yellow"/>
            <w14:ligatures w14:val="standard"/>
          </w:rPr>
          <w:t>https://doi.org/10.1145/1234567890</w:t>
        </w:r>
      </w:hyperlink>
    </w:p>
    <w:p w:rsidR="00672ABE" w:rsidRPr="00586A35" w:rsidRDefault="00672ABE" w:rsidP="00672ABE">
      <w:pPr>
        <w:pStyle w:val="Head1"/>
      </w:pPr>
      <w:r w:rsidRPr="00672ABE">
        <w:t>Literature Review</w:t>
      </w:r>
    </w:p>
    <w:p w:rsidR="0007392C" w:rsidRPr="00586A35" w:rsidRDefault="00672ABE" w:rsidP="00672ABE">
      <w:pPr>
        <w:pStyle w:val="Head2"/>
      </w:pPr>
      <w:r w:rsidRPr="00672ABE">
        <w:t>Gaze Cueing and Attentional Orienting</w:t>
      </w:r>
    </w:p>
    <w:p w:rsidR="00672ABE" w:rsidRPr="00672ABE" w:rsidRDefault="00672ABE" w:rsidP="00524B92">
      <w:pPr>
        <w:pStyle w:val="ParaContinue"/>
        <w:rPr>
          <w:lang w:eastAsia="it-IT"/>
        </w:rPr>
      </w:pPr>
      <w:r w:rsidRPr="00672ABE">
        <w:rPr>
          <w:lang w:eastAsia="it-IT"/>
        </w:rPr>
        <w:t xml:space="preserve">Our environment is crowded with objects that often require further scrutiny, and attending to goal-relevant features of the </w:t>
      </w:r>
      <w:r w:rsidRPr="00672ABE">
        <w:rPr>
          <w:lang w:eastAsia="it-IT"/>
        </w:rPr>
        <w:t xml:space="preserve">environment is essential for effective functioning. However, attention is a finite resource and must be selectively </w:t>
      </w:r>
      <w:proofErr w:type="gramStart"/>
      <w:r w:rsidRPr="00672ABE">
        <w:rPr>
          <w:lang w:eastAsia="it-IT"/>
        </w:rPr>
        <w:t>deployed</w:t>
      </w:r>
      <w:r w:rsidR="00F36726">
        <w:rPr>
          <w:lang w:eastAsia="it-IT"/>
        </w:rPr>
        <w:t xml:space="preserve"> </w:t>
      </w:r>
      <w:r w:rsidRPr="00672ABE">
        <w:rPr>
          <w:lang w:eastAsia="it-IT"/>
        </w:rPr>
        <w:t xml:space="preserve"> (</w:t>
      </w:r>
      <w:proofErr w:type="gramEnd"/>
      <w:r w:rsidRPr="00672ABE">
        <w:rPr>
          <w:lang w:eastAsia="it-IT"/>
        </w:rPr>
        <w:t>Lavie, 2005). Consequently, people use various directional cues to focus their attention on important events and objects in the world. As highly social creatures, humans rely strongly on social cues like gaze direction, head orientation, or pointing gestures.</w:t>
      </w:r>
    </w:p>
    <w:p w:rsidR="00672ABE" w:rsidRPr="00672ABE" w:rsidRDefault="00672ABE" w:rsidP="00524B92">
      <w:pPr>
        <w:pStyle w:val="ParaContinue"/>
        <w:rPr>
          <w:lang w:eastAsia="it-IT"/>
        </w:rPr>
      </w:pPr>
      <w:r w:rsidRPr="00672ABE">
        <w:rPr>
          <w:lang w:eastAsia="it-IT"/>
        </w:rPr>
        <w:t>Reported at the end of the 20th century, Gaze cueing (GC) refers to the human tendency to shift attention in the direction of another person’s gaze (Driver et al., 1999; Friesen &amp; Kingstone, 1998; Hietanen, 1999; Langton &amp; Bruce, 1999). It serves as a fundamental social cue, allowing individuals to infer the attentional focus of others and thereby engage in joint attention—a core component of human social interaction (Baron-Cohen, 1995; Baron-Cohen et al., 1985; Tomasello et al., 2005). As such, GC plays a central role in non-verbal and embodied communication, and is considered one of the foundational mechanisms supporting the development of theory of mind and the capacity to navigate complex social environments. (Baron-Cohen, 1995; Baron-Cohen et al., 1985; Tomasello et al., 2005)</w:t>
      </w:r>
    </w:p>
    <w:p w:rsidR="00672ABE" w:rsidRPr="00672ABE" w:rsidRDefault="00672ABE" w:rsidP="00524B92">
      <w:pPr>
        <w:pStyle w:val="ParaContinue"/>
        <w:rPr>
          <w:lang w:eastAsia="it-IT"/>
        </w:rPr>
      </w:pPr>
      <w:r w:rsidRPr="00672ABE">
        <w:rPr>
          <w:lang w:eastAsia="it-IT"/>
        </w:rPr>
        <w:t>Originally considered a reflexive mechanism (Driver et al., 1999; Friesen &amp; Kingstone, 1998; Hietanen, 1999; Langton &amp; Bruce, 1999), GC has been widely used to investigate attentional orienting processes. It is most commonly studied using a variant of the Posner cueing paradigm (Posner, 1980), a classic attentional task in which a centrally presented cue (e.g., an arrow or a flash) precedes a target, and responses are typically faster when the cue validly predicts the target’s location.</w:t>
      </w:r>
    </w:p>
    <w:p w:rsidR="00672ABE" w:rsidRPr="00672ABE" w:rsidRDefault="00672ABE" w:rsidP="00524B92">
      <w:pPr>
        <w:pStyle w:val="ParaContinue"/>
        <w:rPr>
          <w:lang w:eastAsia="it-IT"/>
        </w:rPr>
      </w:pPr>
      <w:r w:rsidRPr="00672ABE">
        <w:rPr>
          <w:lang w:eastAsia="it-IT"/>
        </w:rPr>
        <w:t>In the GC version, the symbolic cue is replaced by a centrally presented face whose gaze shifts left or right. Even when gaze direction is non-predictive of the target’s location, participants respond faster to targets appearing in the gazed-at direction—a phenomenon known as the gaze cueing effect (GCE). This effect has been interpreted as evidence for the reflexive and automatic nature of gaze-induced attentional shifts (Driver et al., 1999; Friesen &amp; Kingstone, 1998; Hietanen, 1999; Langton &amp; Bruce, 1999). Later support for those findings come also from eye-tracking studies that show that gaze-congruent targets elicit faster saccadic movements (Mansfield et al., 2003; Matsunaka &amp; Hiraki, 2019).</w:t>
      </w:r>
    </w:p>
    <w:p w:rsidR="00672ABE" w:rsidRDefault="00672ABE" w:rsidP="00524B92">
      <w:pPr>
        <w:pStyle w:val="ParaContinue"/>
        <w:rPr>
          <w:lang w:eastAsia="it-IT"/>
        </w:rPr>
      </w:pPr>
      <w:r w:rsidRPr="00672ABE">
        <w:rPr>
          <w:lang w:eastAsia="it-IT"/>
        </w:rPr>
        <w:t xml:space="preserve">However, the reflexive nature of gaze cueing has since been questioned. A growing body of research suggests that, while gaze cueing may be fast and seemingly automatic, it is not purely reflexive but is modulated by contextual, emotional, and social factors, as well as higher-order cognitive processes (for a review, </w:t>
      </w:r>
      <w:r w:rsidRPr="00672ABE">
        <w:rPr>
          <w:lang w:eastAsia="it-IT"/>
        </w:rPr>
        <w:lastRenderedPageBreak/>
        <w:t>see Dalmaso et al., 2020). These findings indicate that gaze cueing is deeply intertwined with social meaning and cognitive mechanisms, highlighting its dynamic and flexible nature and setting the stage for further exploration of its modulation.</w:t>
      </w:r>
      <w:r>
        <w:rPr>
          <w:lang w:eastAsia="it-IT"/>
        </w:rPr>
        <w:t xml:space="preserve"> </w:t>
      </w:r>
    </w:p>
    <w:p w:rsidR="00672ABE" w:rsidRDefault="00672ABE" w:rsidP="00672ABE">
      <w:pPr>
        <w:pStyle w:val="Head2"/>
        <w:rPr>
          <w:rStyle w:val="Label"/>
          <w:bCs/>
          <w14:ligatures w14:val="standard"/>
        </w:rPr>
      </w:pPr>
      <w:r w:rsidRPr="00672ABE">
        <w:rPr>
          <w:rStyle w:val="Label"/>
          <w:bCs/>
          <w14:ligatures w14:val="standard"/>
        </w:rPr>
        <w:t>Modulators of Gaze Cueing</w:t>
      </w:r>
    </w:p>
    <w:p w:rsidR="00672ABE" w:rsidRPr="00672ABE" w:rsidRDefault="00672ABE" w:rsidP="00524B92">
      <w:pPr>
        <w:pStyle w:val="Para"/>
      </w:pPr>
      <w:r w:rsidRPr="00672ABE">
        <w:t>Modulators of the gaze cueing effect (GCE) are recently highly researched and can be generally grouped into three broad categories: (1) physical characteristics of the cueing agent, (2) internal states of the observer, and (3) interactions between these factors (Dalmaso et al., 2020).</w:t>
      </w:r>
    </w:p>
    <w:p w:rsidR="00672ABE" w:rsidRPr="00672ABE" w:rsidRDefault="00672ABE" w:rsidP="00524B92">
      <w:pPr>
        <w:pStyle w:val="Para"/>
      </w:pPr>
      <w:r w:rsidRPr="00672ABE">
        <w:t xml:space="preserve">Physical characteristics of the cueing face include features such as facial expression, dominance, gender, and social status. A substantial body of research supports this, demonstrating, for instance, that individuals exhibit stronger GCEs when viewing high-status faces (Dalmaso et al., 2012), more dominant (Jones et al., 2010; Ohlsen et al., 2013) or familiar faces they have previously engaged in joint attention with (Deaner et al., 2007; </w:t>
      </w:r>
      <w:proofErr w:type="spellStart"/>
      <w:r w:rsidRPr="00672ABE">
        <w:t>Frischen</w:t>
      </w:r>
      <w:proofErr w:type="spellEnd"/>
      <w:r w:rsidRPr="00672ABE">
        <w:t xml:space="preserve"> &amp; Tipper, 2006).</w:t>
      </w:r>
    </w:p>
    <w:p w:rsidR="00672ABE" w:rsidRPr="00672ABE" w:rsidRDefault="00672ABE" w:rsidP="00524B92">
      <w:pPr>
        <w:pStyle w:val="Para"/>
      </w:pPr>
      <w:r w:rsidRPr="00672ABE">
        <w:t>Emotional expressions are also considered as modulators of gaze cueing, especially under specific conditions. For instance, a greater GCE is induced by happy faces of female actors (Hori et al., 2005); or faces that previously smiled to the participants (only in low Autism-Spectrum Quotient individuals) (Hudson et al., 2012); Greater GCE is also shown for angry faces, but only when participants were under high cognitive load (</w:t>
      </w:r>
      <w:proofErr w:type="spellStart"/>
      <w:r w:rsidRPr="00672ABE">
        <w:t>Pecchinenda</w:t>
      </w:r>
      <w:proofErr w:type="spellEnd"/>
      <w:r w:rsidRPr="00672ABE">
        <w:t xml:space="preserve"> &amp; Petrucci, 2016); or for happy and fearful faces after oxytocin administration (Tollenaar et al., 2013).</w:t>
      </w:r>
    </w:p>
    <w:p w:rsidR="00672ABE" w:rsidRPr="00672ABE" w:rsidRDefault="00672ABE" w:rsidP="00524B92">
      <w:pPr>
        <w:pStyle w:val="Para"/>
      </w:pPr>
      <w:r w:rsidRPr="00672ABE">
        <w:t>Internal differences of the observer can also play a role as modulatory factors. Traits such as elevated anxiety (Lassalle &amp; Itier, 2015; Mathews et al., 2003), higher levels of fear (Tipples, 2006), or phobias combined with anxiousness (</w:t>
      </w:r>
      <w:proofErr w:type="spellStart"/>
      <w:r w:rsidRPr="00672ABE">
        <w:t>Pletti</w:t>
      </w:r>
      <w:proofErr w:type="spellEnd"/>
      <w:r w:rsidRPr="00672ABE">
        <w:t xml:space="preserve"> et al., 2015) have been linked to stronger GCEs, as have low self-esteem and heightened social needs (Wu et al., 2014). Personality traits also interact with emotional expression: introverts respond more strongly to neutral and happy faces, while extraverts are more sensitive to angry ones (</w:t>
      </w:r>
      <w:proofErr w:type="spellStart"/>
      <w:r w:rsidRPr="00672ABE">
        <w:t>Ponari</w:t>
      </w:r>
      <w:proofErr w:type="spellEnd"/>
      <w:r w:rsidRPr="00672ABE">
        <w:t xml:space="preserve"> et al., 2013). Gender may play a role as well, with stronger GCEs reported in females than males (Bayliss et al., 2005).  </w:t>
      </w:r>
    </w:p>
    <w:p w:rsidR="00672ABE" w:rsidRPr="00672ABE" w:rsidRDefault="00672ABE" w:rsidP="00524B92">
      <w:pPr>
        <w:pStyle w:val="Para"/>
      </w:pPr>
      <w:r w:rsidRPr="00672ABE">
        <w:t xml:space="preserve">Beyond stable traits, transient internal states such as social acceptance or rejection (Wilkowski et al., 2009), or primed feelings of power (Cui et al., 2014), have been shown to modulate the GCE—highlighting its sensitivity to both enduring and momentary internal conditions. Interestingly, political temperament also appears to influence gaze cueing, with liberals showing more robust effects than conservatives (Carraro et al., 2015). </w:t>
      </w:r>
    </w:p>
    <w:p w:rsidR="00672ABE" w:rsidRPr="00672ABE" w:rsidRDefault="00672ABE" w:rsidP="00524B92">
      <w:pPr>
        <w:pStyle w:val="Para"/>
      </w:pPr>
      <w:r w:rsidRPr="00672ABE">
        <w:t xml:space="preserve">As the reviewed studies illustrate, the gaze cueing effect (GCE) is rarely shaped by a single, isolated factor. Rather, it often results from dynamic interactions between the characteristics of the cueing face (e.g., expression, status, trustworthiness) and traits of the observer (e.g., anxiety, social motivation). This interdependence supports the need for a third category of modulators: interaction effects, which reflect how individual and social factors combine in shaping attentional responses. These </w:t>
      </w:r>
      <w:r w:rsidRPr="00672ABE">
        <w:t>findings collectively suggest that gaze cueing is not merely a reflexive shift of attention, but a flexible, context-sensitive process attuned to the intentional and relational significance of gaze.</w:t>
      </w:r>
    </w:p>
    <w:p w:rsidR="00672ABE" w:rsidRDefault="00672ABE" w:rsidP="00524B92">
      <w:pPr>
        <w:pStyle w:val="Para"/>
      </w:pPr>
      <w:r w:rsidRPr="00672ABE">
        <w:t>Despite this growing body of research, one internal state remains notably underexplored in the gaze cueing literature: the sense of agency (</w:t>
      </w:r>
      <w:proofErr w:type="spellStart"/>
      <w:r w:rsidRPr="00672ABE">
        <w:t>SoA</w:t>
      </w:r>
      <w:proofErr w:type="spellEnd"/>
      <w:r w:rsidRPr="00672ABE">
        <w:t xml:space="preserve">). While prior work has largely emphasized stable personality traits, much less is known about how transient, moment-to-moment cognitive states—such as the subjective experience of control over actions and outcomes—might modulate social attention. Investigating </w:t>
      </w:r>
      <w:proofErr w:type="spellStart"/>
      <w:r w:rsidRPr="00672ABE">
        <w:t>SoA</w:t>
      </w:r>
      <w:proofErr w:type="spellEnd"/>
      <w:r w:rsidRPr="00672ABE">
        <w:t xml:space="preserve"> thus represents a valuable opportunity to deepen our understanding of how volitional control dynamically interacts with mechanisms of gaze-based attentional orienting and non-verbal communication.</w:t>
      </w:r>
    </w:p>
    <w:p w:rsidR="00672ABE" w:rsidRPr="00672ABE" w:rsidRDefault="00672ABE" w:rsidP="00672ABE">
      <w:pPr>
        <w:pStyle w:val="Head2"/>
      </w:pPr>
      <w:r w:rsidRPr="00672ABE">
        <w:t>The Sense of Agency</w:t>
      </w:r>
    </w:p>
    <w:p w:rsidR="00672ABE" w:rsidRPr="00672ABE" w:rsidRDefault="00672ABE" w:rsidP="00524B92">
      <w:pPr>
        <w:pStyle w:val="Para"/>
      </w:pPr>
      <w:r w:rsidRPr="00672ABE">
        <w:t>The sense of agency (</w:t>
      </w:r>
      <w:proofErr w:type="spellStart"/>
      <w:r w:rsidRPr="00672ABE">
        <w:t>SoA</w:t>
      </w:r>
      <w:proofErr w:type="spellEnd"/>
      <w:r w:rsidRPr="00672ABE">
        <w:t xml:space="preserve">) can be defined as the pre-reflective feeling of being the agent of one’s own actions (Gallagher, 2000), and the experience of controlling them and, through them, controlling events in the external world (Haggard &amp; Tsakiris, 2009). In other words, it is the feeling that "I am the one who is causing this effect." </w:t>
      </w:r>
      <w:proofErr w:type="spellStart"/>
      <w:r w:rsidRPr="00672ABE">
        <w:t>SoA</w:t>
      </w:r>
      <w:proofErr w:type="spellEnd"/>
      <w:r w:rsidRPr="00672ABE">
        <w:t xml:space="preserve"> is fundamental to motor control, self-awareness, and social interaction, where recognizing one’s own contributions is essential for coordinating joint actions (Gallagher, 2000). As discussed in Agency and Joint Attention (Metcalfe &amp; Terrace, 2013), </w:t>
      </w:r>
      <w:proofErr w:type="spellStart"/>
      <w:r w:rsidRPr="00672ABE">
        <w:t>SoA</w:t>
      </w:r>
      <w:proofErr w:type="spellEnd"/>
      <w:r w:rsidRPr="00672ABE">
        <w:t xml:space="preserve"> also supports the development of joint attention, a critical capacity for aligning visual focus and inferring others’ intentions (e.g., theory of mind - </w:t>
      </w:r>
      <w:proofErr w:type="spellStart"/>
      <w:r w:rsidRPr="00672ABE">
        <w:t>ToM</w:t>
      </w:r>
      <w:proofErr w:type="spellEnd"/>
      <w:r w:rsidRPr="00672ABE">
        <w:t>).</w:t>
      </w:r>
    </w:p>
    <w:p w:rsidR="00672ABE" w:rsidRPr="00672ABE" w:rsidRDefault="00672ABE" w:rsidP="00524B92">
      <w:pPr>
        <w:pStyle w:val="Para"/>
      </w:pPr>
      <w:r w:rsidRPr="00672ABE">
        <w:t xml:space="preserve">Several theoretical frameworks have been proposed to explain how </w:t>
      </w:r>
      <w:proofErr w:type="spellStart"/>
      <w:r w:rsidRPr="00672ABE">
        <w:t>SoA</w:t>
      </w:r>
      <w:proofErr w:type="spellEnd"/>
      <w:r w:rsidRPr="00672ABE">
        <w:t xml:space="preserve"> arises. Predictive coding models suggest that agency stems from the match between predicted and actual sensory outcomes (Friston, 2012; Wolpert &amp; </w:t>
      </w:r>
      <w:proofErr w:type="spellStart"/>
      <w:r w:rsidRPr="00672ABE">
        <w:t>Kawato</w:t>
      </w:r>
      <w:proofErr w:type="spellEnd"/>
      <w:r w:rsidRPr="00672ABE">
        <w:t>, 1998). Cue integration models propose that internal motor signals and external cues are combined, with more reliable cues contributing more heavily to the final judgment of agency (</w:t>
      </w:r>
      <w:proofErr w:type="spellStart"/>
      <w:r w:rsidRPr="00672ABE">
        <w:t>Pacherie</w:t>
      </w:r>
      <w:proofErr w:type="spellEnd"/>
      <w:r w:rsidRPr="00672ABE">
        <w:t>, 2013, in Metcalfe &amp; Terrace, 2013). Retrospective inference models argue that agency can also be inferred after the fact, based on contextual and temporal information (Wegner, 2004). Despite their differences, these models converge on a central claim: congruency between intended actions and observed outcomes enhances the experience of agency (Metcalfe &amp; Terrace, 2013).</w:t>
      </w:r>
    </w:p>
    <w:p w:rsidR="00672ABE" w:rsidRPr="00672ABE" w:rsidRDefault="00672ABE" w:rsidP="00524B92">
      <w:pPr>
        <w:pStyle w:val="Para"/>
      </w:pPr>
      <w:r w:rsidRPr="00672ABE">
        <w:t xml:space="preserve">Importantly, recent research shows that </w:t>
      </w:r>
      <w:proofErr w:type="spellStart"/>
      <w:r w:rsidRPr="00672ABE">
        <w:t>SoA</w:t>
      </w:r>
      <w:proofErr w:type="spellEnd"/>
      <w:r w:rsidRPr="00672ABE">
        <w:t xml:space="preserve"> is not limited to motor actions like button presses. For instance, Gutzeit et al. (2024) demonstrated that people can experience agency over eye movements, particularly when gaze behavior leads to predictable outcomes such as color changes. Their study revealed that gaze–outcome contingency increased both explicit agency ratings and temporal binding effects, supporting the generalizability of predictive models to the oculomotor domain.</w:t>
      </w:r>
    </w:p>
    <w:p w:rsidR="00672ABE" w:rsidRPr="00672ABE" w:rsidRDefault="00672ABE" w:rsidP="00524B92">
      <w:pPr>
        <w:pStyle w:val="Para"/>
      </w:pPr>
      <w:r w:rsidRPr="00672ABE">
        <w:t xml:space="preserve">Other studies highlight the social embedding of agency. Ulloa et al. (2019) found that mutual gaze enhances perceived agency in social contexts. Participants felt more in control of outcomes when their gaze was met by another’s, suggesting that social cues like eye contact modulate </w:t>
      </w:r>
      <w:proofErr w:type="spellStart"/>
      <w:r w:rsidRPr="00672ABE">
        <w:t>SoA</w:t>
      </w:r>
      <w:proofErr w:type="spellEnd"/>
      <w:r w:rsidRPr="00672ABE">
        <w:t>—a finding that underscores the role of interpersonal feedback in agency judgments.</w:t>
      </w:r>
    </w:p>
    <w:p w:rsidR="00672ABE" w:rsidRPr="00672ABE" w:rsidRDefault="00672ABE" w:rsidP="00524B92">
      <w:pPr>
        <w:pStyle w:val="Para"/>
      </w:pPr>
      <w:r w:rsidRPr="00672ABE">
        <w:lastRenderedPageBreak/>
        <w:t xml:space="preserve">Together, these results position </w:t>
      </w:r>
      <w:proofErr w:type="spellStart"/>
      <w:r w:rsidRPr="00672ABE">
        <w:t>SoA</w:t>
      </w:r>
      <w:proofErr w:type="spellEnd"/>
      <w:r w:rsidRPr="00672ABE">
        <w:t xml:space="preserve"> as multimodal, context-sensitive, and deeply social, extending beyond physical actions into attentional and communicative domains.</w:t>
      </w:r>
    </w:p>
    <w:p w:rsidR="00672ABE" w:rsidRPr="00672ABE" w:rsidRDefault="00672ABE" w:rsidP="00672ABE">
      <w:pPr>
        <w:pStyle w:val="Head2"/>
        <w:rPr>
          <w:rStyle w:val="meta-value"/>
        </w:rPr>
      </w:pPr>
      <w:r w:rsidRPr="00672ABE">
        <w:rPr>
          <w:rStyle w:val="meta-value"/>
        </w:rPr>
        <w:t>Agency’s Influence on Perception and Attention</w:t>
      </w:r>
    </w:p>
    <w:p w:rsidR="00672ABE" w:rsidRPr="00672ABE" w:rsidRDefault="00672ABE" w:rsidP="00524B92">
      <w:pPr>
        <w:pStyle w:val="Para"/>
      </w:pPr>
      <w:r w:rsidRPr="00672ABE">
        <w:t xml:space="preserve">A growing body of evidence shows that </w:t>
      </w:r>
      <w:proofErr w:type="spellStart"/>
      <w:r w:rsidRPr="00672ABE">
        <w:t>SoA</w:t>
      </w:r>
      <w:proofErr w:type="spellEnd"/>
      <w:r w:rsidRPr="00672ABE">
        <w:t xml:space="preserve"> affects not only how actions are experienced, but also how sensory and attentional processes unfold. For example, the intentional binding effect—a compression in perceived time between an action and its effect—is a widely used implicit measure of agency (</w:t>
      </w:r>
      <w:bookmarkStart w:id="0" w:name="_Hlk202040880"/>
      <w:r w:rsidRPr="00672ABE">
        <w:t xml:space="preserve">Haggard </w:t>
      </w:r>
      <w:bookmarkEnd w:id="0"/>
      <w:r w:rsidRPr="00672ABE">
        <w:t>et al., 2002). Likewise, sensory attenuation refers to the phenomenon where self-generated stimuli (e.g., sounds, touches) are perceived as less intense, presumably due to predictive down-weighting (Blakemore et al., 1998; Shergill et al., 2003).</w:t>
      </w:r>
    </w:p>
    <w:p w:rsidR="00672ABE" w:rsidRPr="00672ABE" w:rsidRDefault="00672ABE" w:rsidP="00524B92">
      <w:pPr>
        <w:pStyle w:val="Para"/>
      </w:pPr>
      <w:proofErr w:type="spellStart"/>
      <w:r w:rsidRPr="00672ABE">
        <w:t>SoA</w:t>
      </w:r>
      <w:proofErr w:type="spellEnd"/>
      <w:r w:rsidRPr="00672ABE">
        <w:t xml:space="preserve"> also influences higher-level attention and perceptual salience. Wenke et al. (2010) showed that people preferentially attend to outcomes they believe they caused and deprioritize those attributed to external sources. These findings align with the view that action–outcome congruency tunes attentional systems, likely through top-down predictive mechanisms.</w:t>
      </w:r>
    </w:p>
    <w:p w:rsidR="00672ABE" w:rsidRDefault="00672ABE" w:rsidP="00524B92">
      <w:pPr>
        <w:pStyle w:val="Para"/>
      </w:pPr>
      <w:r w:rsidRPr="00672ABE">
        <w:t xml:space="preserve">In the social domain, agency and attention appear to interact closely. As mentioned above, Ulloa et al. (2019) demonstrated that eye contact not only communicates engagement but also enhances </w:t>
      </w:r>
      <w:proofErr w:type="spellStart"/>
      <w:r w:rsidRPr="00672ABE">
        <w:t>SoA</w:t>
      </w:r>
      <w:proofErr w:type="spellEnd"/>
      <w:r w:rsidRPr="00672ABE">
        <w:t xml:space="preserve">. Meanwhile, Gutzeit et al. (2024) showed that even gaze-contingent effects—where simply looking in a direction causes an event—are sufficient to elicit </w:t>
      </w:r>
      <w:proofErr w:type="spellStart"/>
      <w:r w:rsidRPr="00672ABE">
        <w:t>SoA</w:t>
      </w:r>
      <w:proofErr w:type="spellEnd"/>
      <w:r w:rsidRPr="00672ABE">
        <w:t>, particularly when the action–effect relationship is perceived as contingent and predictable.</w:t>
      </w:r>
    </w:p>
    <w:p w:rsidR="00524B92" w:rsidRPr="00524B92" w:rsidRDefault="00524B92" w:rsidP="00524B92">
      <w:pPr>
        <w:pStyle w:val="Head1"/>
      </w:pPr>
      <w:r w:rsidRPr="00524B92">
        <w:t>Current Study</w:t>
      </w:r>
    </w:p>
    <w:p w:rsidR="00524B92" w:rsidRPr="00524B92" w:rsidRDefault="00524B92" w:rsidP="00524B92">
      <w:pPr>
        <w:pStyle w:val="Para"/>
      </w:pPr>
      <w:r w:rsidRPr="00524B92">
        <w:t>The present experiment is part of a larger research program investigating how different types of actions—ranging from full bodily movements to minimal oculomotor shifts—interact with attentional and social-perceptual mechanisms such as gaze cueing.</w:t>
      </w:r>
    </w:p>
    <w:p w:rsidR="00524B92" w:rsidRPr="00524B92" w:rsidRDefault="00524B92" w:rsidP="00524B92">
      <w:pPr>
        <w:pStyle w:val="Para"/>
      </w:pPr>
      <w:r w:rsidRPr="00524B92">
        <w:t>Despite its theoretical significance and centrality to volitional behavior, the influence of the sense of agency (</w:t>
      </w:r>
      <w:proofErr w:type="spellStart"/>
      <w:r w:rsidRPr="00524B92">
        <w:t>SoA</w:t>
      </w:r>
      <w:proofErr w:type="spellEnd"/>
      <w:r w:rsidRPr="00524B92">
        <w:t xml:space="preserve">) on attentional processes—specifically gaze cueing—remains poorly understood. While prior research has shown that gaze behavior can influence </w:t>
      </w:r>
      <w:proofErr w:type="spellStart"/>
      <w:r w:rsidRPr="00524B92">
        <w:t>SoA</w:t>
      </w:r>
      <w:proofErr w:type="spellEnd"/>
      <w:r w:rsidRPr="00524B92">
        <w:t xml:space="preserve"> (e.g., mutual gaze enhancing agency; Ulloa et al., 2019; Stephenson et al., 2018), the reverse relationship—whether agency modulates the perceptual and attentional impact of gaze cues—has not been directly tested. Our study addresses this gap by investigating whether </w:t>
      </w:r>
      <w:proofErr w:type="spellStart"/>
      <w:r w:rsidRPr="00524B92">
        <w:t>SoA</w:t>
      </w:r>
      <w:proofErr w:type="spellEnd"/>
      <w:r w:rsidRPr="00524B92">
        <w:t xml:space="preserve"> shapes the strength of gaze cueing effects (GC), that is, the reflexive shift of attention in the direction of another's gaze.</w:t>
      </w:r>
    </w:p>
    <w:p w:rsidR="00524B92" w:rsidRPr="00524B92" w:rsidRDefault="00524B92" w:rsidP="00524B92">
      <w:pPr>
        <w:pStyle w:val="Para"/>
      </w:pPr>
      <w:r w:rsidRPr="00524B92">
        <w:t xml:space="preserve">In this experiment, we operationalize </w:t>
      </w:r>
      <w:proofErr w:type="spellStart"/>
      <w:r w:rsidRPr="00524B92">
        <w:t>SoA</w:t>
      </w:r>
      <w:proofErr w:type="spellEnd"/>
      <w:r w:rsidRPr="00524B92">
        <w:t xml:space="preserve"> through action–outcome congruency: whether the direction of a gaze shift aligns with the participant’s chosen action. Participants perform a color categorization task in which a synthetic face with dynamic pupil motion precedes target onset. In active trials, participants choose a direction, which then either matches (congruent) or opposes (incongruent) the resulting gaze direction. In passive (control) trials, gaze direction is externally determined and participants have no control over it. The gaze direction itself is either valid (target appears on the same side) or invalid (opposite side), </w:t>
      </w:r>
      <w:r w:rsidRPr="00524B92">
        <w:t>allowing us to measure how agency modulates the behavioral impact of gaze cues.</w:t>
      </w:r>
    </w:p>
    <w:p w:rsidR="00524B92" w:rsidRPr="00524B92" w:rsidRDefault="00524B92" w:rsidP="00524B92">
      <w:pPr>
        <w:pStyle w:val="Para"/>
      </w:pPr>
      <w:r w:rsidRPr="00524B92">
        <w:t xml:space="preserve">This design allows us to move beyond traditional accounts that treat gaze cueing as largely automatic by examining how internal states like </w:t>
      </w:r>
      <w:proofErr w:type="spellStart"/>
      <w:r w:rsidRPr="00524B92">
        <w:t>SoA</w:t>
      </w:r>
      <w:proofErr w:type="spellEnd"/>
      <w:r w:rsidRPr="00524B92">
        <w:t xml:space="preserve"> dynamically shape social attention. Drawing on predictive processing (Friston, 2012; Wolpert &amp; </w:t>
      </w:r>
      <w:proofErr w:type="spellStart"/>
      <w:r w:rsidRPr="00524B92">
        <w:t>Kawato</w:t>
      </w:r>
      <w:proofErr w:type="spellEnd"/>
      <w:r w:rsidRPr="00524B92">
        <w:t>, 1998) and cue integration frameworks (</w:t>
      </w:r>
      <w:proofErr w:type="spellStart"/>
      <w:r w:rsidRPr="00524B92">
        <w:t>Pacherie</w:t>
      </w:r>
      <w:proofErr w:type="spellEnd"/>
      <w:r w:rsidRPr="00524B92">
        <w:t>, 2013), as well as empirical findings showing that congruent action–outcome relationships enhance both agency and attentional salience (Wenke et al., 2010; Gutzeit et al., 2024), we propose that the effectiveness of gaze cues will vary systematically with perceived agency.</w:t>
      </w:r>
    </w:p>
    <w:p w:rsidR="00524B92" w:rsidRPr="00524B92" w:rsidRDefault="00524B92" w:rsidP="00524B92">
      <w:pPr>
        <w:pStyle w:val="Para"/>
      </w:pPr>
      <w:r w:rsidRPr="00524B92">
        <w:t xml:space="preserve">Specifically, we expect enhanced gaze cueing in active–congruent conditions, where participants’ chosen direction is followed by a matching gaze shift, reinforcing predictive congruency and strengthening </w:t>
      </w:r>
      <w:proofErr w:type="spellStart"/>
      <w:r w:rsidRPr="00524B92">
        <w:t>SoA</w:t>
      </w:r>
      <w:proofErr w:type="spellEnd"/>
      <w:r w:rsidRPr="00524B92">
        <w:t>. By contrast, active–incongruent trials may weaken or disrupt cueing, as the violated expectation likely reduces perceived agency. Passive trials, in which no volitional input is involved, are expected to yield intermediate effects, reflecting neither enhanced agency nor explicit violation of expectations.</w:t>
      </w:r>
    </w:p>
    <w:p w:rsidR="00524B92" w:rsidRDefault="00524B92" w:rsidP="00524B92">
      <w:pPr>
        <w:pStyle w:val="Para"/>
      </w:pPr>
      <w:r w:rsidRPr="00524B92">
        <w:t xml:space="preserve">This approach inverts previous paradigms focused on how gaze influences agency, offering instead a novel framework for understanding how </w:t>
      </w:r>
      <w:proofErr w:type="spellStart"/>
      <w:r w:rsidRPr="00524B92">
        <w:t>SoA</w:t>
      </w:r>
      <w:proofErr w:type="spellEnd"/>
      <w:r w:rsidRPr="00524B92">
        <w:t xml:space="preserve"> can act as a top-down modulator of gaze-guided attention. The findings extend gaze cueing research into the domain of volitional control and predictive inference, highlighting the bidirectional interplay between internal states and social cues. Moreover, our work has broader implications: real-world joint attention and social coordination often depend on a person’s perceived role as an initiator or responder. Understanding how perceived control modulates attention to gaze can inform not only cognitive models of social perception, but also practical applications in education, therapy, and the design of socially responsive artificial agents.</w:t>
      </w:r>
    </w:p>
    <w:p w:rsidR="00524B92" w:rsidRDefault="00524B92" w:rsidP="00524B92">
      <w:pPr>
        <w:pStyle w:val="Head1"/>
      </w:pPr>
      <w:r>
        <w:t>Experiment</w:t>
      </w:r>
    </w:p>
    <w:p w:rsidR="00524B92" w:rsidRDefault="00524B92" w:rsidP="00524B92">
      <w:pPr>
        <w:pStyle w:val="Head2"/>
      </w:pPr>
      <w:r>
        <w:t>Method</w:t>
      </w:r>
    </w:p>
    <w:p w:rsidR="00524B92" w:rsidRDefault="00524B92" w:rsidP="00524B92">
      <w:pPr>
        <w:pStyle w:val="Head3"/>
      </w:pPr>
      <w:r w:rsidRPr="00524B92">
        <w:t xml:space="preserve">Participants </w:t>
      </w:r>
    </w:p>
    <w:p w:rsidR="00524B92" w:rsidRPr="00524B92" w:rsidRDefault="00524B92" w:rsidP="00524B92">
      <w:pPr>
        <w:pStyle w:val="Para"/>
      </w:pPr>
      <w:r w:rsidRPr="00524B92">
        <w:t>Forty-three students participated in the experiment (7 males, age M(SD)=24.7(8.4) years old). They either volunteered or participated in exchange for a course credit after giving their written informed consent. All participants had normal or corrected to normal vision.</w:t>
      </w:r>
    </w:p>
    <w:p w:rsidR="00524B92" w:rsidRPr="00524B92" w:rsidRDefault="00524B92" w:rsidP="00524B92">
      <w:pPr>
        <w:pStyle w:val="Para"/>
      </w:pPr>
    </w:p>
    <w:p w:rsidR="00524B92" w:rsidRDefault="00524B92" w:rsidP="00524B92">
      <w:pPr>
        <w:pStyle w:val="Head3"/>
      </w:pPr>
      <w:r w:rsidRPr="00524B92">
        <w:t xml:space="preserve">Stimuli, Design, and Procedure </w:t>
      </w:r>
    </w:p>
    <w:p w:rsidR="00524B92" w:rsidRDefault="00524B92" w:rsidP="00524B92">
      <w:pPr>
        <w:pStyle w:val="Para"/>
      </w:pPr>
      <w:r w:rsidRPr="00524B92">
        <w:t xml:space="preserve">The design of the experiment was 2 (Gaze Cueing: congruent vs. incongruent) x 3 (Action-outcome consistency: consistent vs. inconsistent vs. control) within-subjects design. The face was generated by </w:t>
      </w:r>
      <w:proofErr w:type="spellStart"/>
      <w:r w:rsidRPr="00524B92">
        <w:t>FaceGen</w:t>
      </w:r>
      <w:proofErr w:type="spellEnd"/>
      <w:r w:rsidRPr="00524B92">
        <w:t xml:space="preserve"> program (https://facegen.com/).  The face subtended around 13</w:t>
      </w:r>
      <w:r w:rsidRPr="00524B92">
        <w:t> of visual angle in height and 6</w:t>
      </w:r>
      <w:r w:rsidRPr="00524B92">
        <w:t> - in width, centered at the screen. From both sides of the face (5</w:t>
      </w:r>
      <w:r w:rsidRPr="00524B92">
        <w:t> to the nearest edge) squares were presented subtending 3.5</w:t>
      </w:r>
      <w:r w:rsidRPr="00524B92">
        <w:t>, positioned at the eye central ‘line’. Target colors were violet (</w:t>
      </w:r>
      <w:proofErr w:type="spellStart"/>
      <w:r w:rsidRPr="00524B92">
        <w:t>BlueViolet</w:t>
      </w:r>
      <w:proofErr w:type="spellEnd"/>
      <w:r w:rsidRPr="00524B92">
        <w:t xml:space="preserve">, </w:t>
      </w:r>
      <w:r w:rsidRPr="00524B92">
        <w:lastRenderedPageBreak/>
        <w:t>RGB: 138, 43, 226) or magenta (Magenta, RGB: 255, 0, 255) filled in one of the squares as soon as the eye movement was completed. Figure 1 presents a trial example.</w:t>
      </w:r>
    </w:p>
    <w:p w:rsidR="00524B92" w:rsidRDefault="00524B92" w:rsidP="00524B92">
      <w:pPr>
        <w:pStyle w:val="Para"/>
      </w:pPr>
    </w:p>
    <w:p w:rsidR="00524B92" w:rsidRDefault="00524B92" w:rsidP="00524B92">
      <w:pPr>
        <w:pStyle w:val="Image"/>
      </w:pPr>
      <w:r>
        <w:rPr>
          <w:noProof/>
        </w:rPr>
        <w:drawing>
          <wp:inline distT="0" distB="0" distL="0" distR="0" wp14:anchorId="52B3050A" wp14:editId="38D52C92">
            <wp:extent cx="3048000" cy="2183146"/>
            <wp:effectExtent l="0" t="0" r="0" b="7620"/>
            <wp:docPr id="1277288205"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88205" name="Picture 1" descr="A screenshot of a computer gam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0" cy="2183146"/>
                    </a:xfrm>
                    <a:prstGeom prst="rect">
                      <a:avLst/>
                    </a:prstGeom>
                  </pic:spPr>
                </pic:pic>
              </a:graphicData>
            </a:graphic>
          </wp:inline>
        </w:drawing>
      </w:r>
    </w:p>
    <w:p w:rsidR="00524B92" w:rsidRDefault="00524B92" w:rsidP="00115341">
      <w:pPr>
        <w:pStyle w:val="FigureCaption"/>
        <w:jc w:val="both"/>
      </w:pPr>
      <w:r>
        <w:t>Figure 1: Trial example</w:t>
      </w:r>
    </w:p>
    <w:p w:rsidR="00524B92" w:rsidRDefault="00524B92" w:rsidP="00524B92">
      <w:pPr>
        <w:pStyle w:val="Para"/>
      </w:pPr>
    </w:p>
    <w:p w:rsidR="00524B92" w:rsidRDefault="00524B92" w:rsidP="00524B92">
      <w:pPr>
        <w:pStyle w:val="Para"/>
      </w:pPr>
      <w:r>
        <w:t xml:space="preserve">Stimuli presentation and response collection was controlled by E-prime 2.0 software (Schneider, Eschman, &amp; Zuccolotto, 2002). Participants were tested individually in a sound-proof booth in front of 22-inch monitor with resolution of 1920x1080 pixels and refresh rate of 50 Hz. They were positioned at around 60 cm from the screen. Participants were asked to perform a dual task:  First task was to either pressing a button of their choice (left vs right) to initiate gaze movement or to refrain from pressing a button and to observe the gaze movements to the left or right. To initiate gaze movement participants were asked to press either button ‘6’ (right) or ‘4’ (left) on an extended keyboard: that is, the buttons were positioned on the right of the keyboard, and the participants were asked to press buttons using their right hand. The second task was color discrimination: as soon as the gaze movement was over, one of the squares was colored. Participants were asked to discriminate between colors (violet/magenta) as fast and as accurately as possible pressing a corresponding button on the computer keyboard (“a” </w:t>
      </w:r>
      <w:proofErr w:type="gramStart"/>
      <w:r>
        <w:t>or ”d</w:t>
      </w:r>
      <w:proofErr w:type="gramEnd"/>
      <w:r>
        <w:t xml:space="preserve">”) with their left hand. Response mapping was counterbalanced between participants. A trial started with a fixation cross. The participants were instructed to press a left or right button with their right hand (‘4’ or ‘6’) of their choice only if the cross was green. If a button press was not registered during 3 sec, then a green cross would appear again. After the button press, a face with two squares from each side of the face appeared. If the cross was red, participants would wait for a face to appear without pressing left/right button. The red cross stayed on the screen for a random time between 500 and 1700 </w:t>
      </w:r>
      <w:proofErr w:type="spellStart"/>
      <w:r>
        <w:t>ms.</w:t>
      </w:r>
      <w:proofErr w:type="spellEnd"/>
      <w:r>
        <w:t xml:space="preserve"> Immediately after the face appearance the eyes moved either left or right, towards one of the squares. The movement took 350 </w:t>
      </w:r>
      <w:proofErr w:type="spellStart"/>
      <w:r>
        <w:t>ms.</w:t>
      </w:r>
      <w:proofErr w:type="spellEnd"/>
      <w:r>
        <w:t xml:space="preserve"> In case of movement initiation by a participant, the eye movement could be either consistent with the intended direction of the participants or inconsistent. After the eyes reach their ultimate left </w:t>
      </w:r>
      <w:r>
        <w:t xml:space="preserve">or right position, one of the side white squares changed its color into violet or magenta.  Participants had 1500 </w:t>
      </w:r>
      <w:proofErr w:type="spellStart"/>
      <w:r>
        <w:t>ms</w:t>
      </w:r>
      <w:proofErr w:type="spellEnd"/>
      <w:r>
        <w:t xml:space="preserve"> to respond using their left hand. The inter-trial interval was 1000 </w:t>
      </w:r>
      <w:proofErr w:type="spellStart"/>
      <w:r>
        <w:t>ms.</w:t>
      </w:r>
      <w:proofErr w:type="spellEnd"/>
    </w:p>
    <w:p w:rsidR="00524B92" w:rsidRDefault="00524B92" w:rsidP="00524B92">
      <w:pPr>
        <w:pStyle w:val="Para"/>
      </w:pPr>
      <w:r>
        <w:t xml:space="preserve">Participants first went through a practice block that consisted of 16 trials. The experimental procedure consisted of 168 trials (28 trials per condition). Trials were presented </w:t>
      </w:r>
      <w:proofErr w:type="spellStart"/>
      <w:r>
        <w:t>pseudorandomly</w:t>
      </w:r>
      <w:proofErr w:type="spellEnd"/>
      <w:r>
        <w:t xml:space="preserve"> so that there were no more than two consecutive trials with the same condition and color.  The experiment took around 10-15 minutes to complete.</w:t>
      </w:r>
    </w:p>
    <w:p w:rsidR="00524B92" w:rsidRDefault="00524B92" w:rsidP="00524B92">
      <w:pPr>
        <w:pStyle w:val="Para"/>
      </w:pPr>
      <w:r>
        <w:t>Results and Discussion</w:t>
      </w:r>
    </w:p>
    <w:p w:rsidR="00524B92" w:rsidRDefault="00524B92" w:rsidP="00524B92">
      <w:pPr>
        <w:pStyle w:val="Para"/>
      </w:pPr>
      <w:r>
        <w:t xml:space="preserve">Data of ten participants were excluded due to low accuracy (&lt;80%) or failure to follow the instruction. Data of two participants were excluded since they have complained about task difficulty. Finally, data of seven participants were excluded due to very long mean RT comparing to means of other participants (&gt;700 </w:t>
      </w:r>
      <w:proofErr w:type="spellStart"/>
      <w:r>
        <w:t>ms</w:t>
      </w:r>
      <w:proofErr w:type="spellEnd"/>
      <w:r>
        <w:t xml:space="preserve">). A post-hoc power analysis indicated that with the remaining sample size (24 participants) our experiment had sufficient power to detect even a small effect (power = 0.91 for an effect size f = 0.25). The post-hoc power analysis was conducted using G*Power 3.1.9.6 (Faul, </w:t>
      </w:r>
      <w:proofErr w:type="spellStart"/>
      <w:r>
        <w:t>Erdfelder</w:t>
      </w:r>
      <w:proofErr w:type="spellEnd"/>
      <w:r>
        <w:t>, Lang, &amp; Buchner, 2007).</w:t>
      </w:r>
    </w:p>
    <w:p w:rsidR="00524B92" w:rsidRDefault="00524B92" w:rsidP="00524B92">
      <w:pPr>
        <w:pStyle w:val="Para"/>
      </w:pPr>
      <w:r>
        <w:t>From the remaining data of 24 participants’ erroneous responses (7.1%) and outliers (5.06%) with RT outside of ± 2SD per participant and per condition means were excluded from the RT analysis. The data were averaged by subject and then entered into repeated measures ANOVA (</w:t>
      </w:r>
      <w:proofErr w:type="spellStart"/>
      <w:r>
        <w:t>rANOVA</w:t>
      </w:r>
      <w:proofErr w:type="spellEnd"/>
      <w:r>
        <w:t>) with action-outcome consistency and gaze cueing as within-subject variables. Bonferroni post-hoc test was applied where appropriate. Table 1 presents descriptive statistics per condition.</w:t>
      </w:r>
    </w:p>
    <w:p w:rsidR="00524B92" w:rsidRDefault="00524B92" w:rsidP="00524B92">
      <w:pPr>
        <w:pStyle w:val="Para"/>
      </w:pPr>
    </w:p>
    <w:tbl>
      <w:tblPr>
        <w:tblStyle w:val="TableGrid"/>
        <w:tblW w:w="4787" w:type="dxa"/>
        <w:tblLook w:val="04A0" w:firstRow="1" w:lastRow="0" w:firstColumn="1" w:lastColumn="0" w:noHBand="0" w:noVBand="1"/>
      </w:tblPr>
      <w:tblGrid>
        <w:gridCol w:w="1183"/>
        <w:gridCol w:w="1790"/>
        <w:gridCol w:w="1814"/>
      </w:tblGrid>
      <w:tr w:rsidR="00524B92" w:rsidRPr="0096437A" w:rsidTr="006B59F8">
        <w:trPr>
          <w:trHeight w:val="304"/>
        </w:trPr>
        <w:tc>
          <w:tcPr>
            <w:tcW w:w="1183" w:type="dxa"/>
            <w:tcBorders>
              <w:left w:val="nil"/>
              <w:bottom w:val="single" w:sz="4" w:space="0" w:color="auto"/>
              <w:right w:val="nil"/>
            </w:tcBorders>
            <w:vAlign w:val="center"/>
          </w:tcPr>
          <w:p w:rsidR="00524B92" w:rsidRDefault="00524B92" w:rsidP="006B59F8">
            <w:pPr>
              <w:rPr>
                <w:rFonts w:eastAsia="Times New Roman"/>
                <w:b/>
                <w:bCs/>
              </w:rPr>
            </w:pPr>
          </w:p>
        </w:tc>
        <w:tc>
          <w:tcPr>
            <w:tcW w:w="3604" w:type="dxa"/>
            <w:gridSpan w:val="2"/>
            <w:tcBorders>
              <w:left w:val="nil"/>
              <w:bottom w:val="single" w:sz="4" w:space="0" w:color="auto"/>
              <w:right w:val="nil"/>
            </w:tcBorders>
            <w:vAlign w:val="center"/>
          </w:tcPr>
          <w:p w:rsidR="00524B92" w:rsidRDefault="00524B92" w:rsidP="006B59F8">
            <w:pPr>
              <w:rPr>
                <w:rFonts w:eastAsia="Times New Roman"/>
                <w:b/>
                <w:bCs/>
              </w:rPr>
            </w:pPr>
            <w:r>
              <w:rPr>
                <w:rFonts w:eastAsia="Times New Roman"/>
                <w:b/>
                <w:bCs/>
              </w:rPr>
              <w:t xml:space="preserve">                       Gaze Cueing</w:t>
            </w:r>
          </w:p>
        </w:tc>
      </w:tr>
      <w:tr w:rsidR="00524B92" w:rsidRPr="0096437A" w:rsidTr="006B59F8">
        <w:trPr>
          <w:trHeight w:val="304"/>
        </w:trPr>
        <w:tc>
          <w:tcPr>
            <w:tcW w:w="1183" w:type="dxa"/>
            <w:tcBorders>
              <w:left w:val="nil"/>
              <w:bottom w:val="single" w:sz="4" w:space="0" w:color="auto"/>
              <w:right w:val="nil"/>
            </w:tcBorders>
            <w:vAlign w:val="center"/>
          </w:tcPr>
          <w:p w:rsidR="00524B92" w:rsidRPr="0096437A" w:rsidRDefault="00524B92" w:rsidP="006B59F8">
            <w:pPr>
              <w:rPr>
                <w:rFonts w:eastAsia="Times New Roman"/>
                <w:b/>
                <w:bCs/>
              </w:rPr>
            </w:pPr>
            <w:r>
              <w:rPr>
                <w:rFonts w:eastAsia="Times New Roman"/>
                <w:b/>
                <w:bCs/>
              </w:rPr>
              <w:t>Action-Outcome</w:t>
            </w:r>
          </w:p>
        </w:tc>
        <w:tc>
          <w:tcPr>
            <w:tcW w:w="1790" w:type="dxa"/>
            <w:tcBorders>
              <w:left w:val="nil"/>
              <w:bottom w:val="single" w:sz="4" w:space="0" w:color="auto"/>
              <w:right w:val="nil"/>
            </w:tcBorders>
            <w:vAlign w:val="center"/>
          </w:tcPr>
          <w:p w:rsidR="00524B92" w:rsidRPr="0096437A" w:rsidRDefault="00524B92" w:rsidP="006B59F8">
            <w:pPr>
              <w:rPr>
                <w:rFonts w:eastAsia="Times New Roman"/>
                <w:b/>
                <w:bCs/>
              </w:rPr>
            </w:pPr>
            <w:r>
              <w:rPr>
                <w:rFonts w:eastAsia="Times New Roman"/>
                <w:b/>
                <w:bCs/>
              </w:rPr>
              <w:t>Congruent</w:t>
            </w:r>
          </w:p>
        </w:tc>
        <w:tc>
          <w:tcPr>
            <w:tcW w:w="1814" w:type="dxa"/>
            <w:tcBorders>
              <w:left w:val="nil"/>
              <w:bottom w:val="single" w:sz="4" w:space="0" w:color="auto"/>
              <w:right w:val="nil"/>
            </w:tcBorders>
            <w:vAlign w:val="center"/>
          </w:tcPr>
          <w:p w:rsidR="00524B92" w:rsidRPr="0096437A" w:rsidRDefault="00524B92" w:rsidP="006B59F8">
            <w:pPr>
              <w:rPr>
                <w:rFonts w:eastAsia="Times New Roman"/>
                <w:b/>
                <w:bCs/>
              </w:rPr>
            </w:pPr>
            <w:r>
              <w:rPr>
                <w:rFonts w:eastAsia="Times New Roman"/>
                <w:b/>
                <w:bCs/>
              </w:rPr>
              <w:t>Incongruent</w:t>
            </w:r>
          </w:p>
        </w:tc>
      </w:tr>
      <w:tr w:rsidR="00524B92" w:rsidRPr="0096437A" w:rsidTr="006B59F8">
        <w:trPr>
          <w:trHeight w:val="304"/>
        </w:trPr>
        <w:tc>
          <w:tcPr>
            <w:tcW w:w="1183" w:type="dxa"/>
            <w:tcBorders>
              <w:left w:val="nil"/>
              <w:bottom w:val="nil"/>
              <w:right w:val="nil"/>
            </w:tcBorders>
            <w:vAlign w:val="center"/>
          </w:tcPr>
          <w:p w:rsidR="00524B92" w:rsidRPr="0096437A" w:rsidRDefault="00524B92" w:rsidP="006B59F8">
            <w:pPr>
              <w:rPr>
                <w:rFonts w:eastAsia="Times New Roman"/>
              </w:rPr>
            </w:pPr>
            <w:r>
              <w:rPr>
                <w:rFonts w:eastAsia="Times New Roman"/>
              </w:rPr>
              <w:t>Consistent</w:t>
            </w:r>
          </w:p>
        </w:tc>
        <w:tc>
          <w:tcPr>
            <w:tcW w:w="1790" w:type="dxa"/>
            <w:tcBorders>
              <w:left w:val="nil"/>
              <w:bottom w:val="nil"/>
              <w:right w:val="nil"/>
            </w:tcBorders>
            <w:vAlign w:val="center"/>
          </w:tcPr>
          <w:p w:rsidR="00524B92" w:rsidRPr="0096437A" w:rsidRDefault="00524B92" w:rsidP="006B59F8">
            <w:pPr>
              <w:rPr>
                <w:rFonts w:eastAsia="Times New Roman"/>
              </w:rPr>
            </w:pPr>
            <w:r>
              <w:rPr>
                <w:rFonts w:eastAsia="Times New Roman"/>
              </w:rPr>
              <w:t>546</w:t>
            </w:r>
            <w:r w:rsidRPr="0096437A">
              <w:rPr>
                <w:rFonts w:eastAsia="Times New Roman"/>
              </w:rPr>
              <w:t>(</w:t>
            </w:r>
            <w:r>
              <w:rPr>
                <w:rFonts w:eastAsia="Times New Roman"/>
              </w:rPr>
              <w:t>78</w:t>
            </w:r>
            <w:r w:rsidRPr="0096437A">
              <w:rPr>
                <w:rFonts w:eastAsia="Times New Roman"/>
              </w:rPr>
              <w:t xml:space="preserve">), </w:t>
            </w:r>
            <w:r>
              <w:rPr>
                <w:rFonts w:eastAsia="Times New Roman"/>
              </w:rPr>
              <w:t>514</w:t>
            </w:r>
            <w:r w:rsidRPr="0096437A">
              <w:rPr>
                <w:rFonts w:eastAsia="Times New Roman"/>
              </w:rPr>
              <w:t>–</w:t>
            </w:r>
            <w:r>
              <w:rPr>
                <w:rFonts w:eastAsia="Times New Roman"/>
              </w:rPr>
              <w:t>579</w:t>
            </w:r>
          </w:p>
        </w:tc>
        <w:tc>
          <w:tcPr>
            <w:tcW w:w="1814" w:type="dxa"/>
            <w:tcBorders>
              <w:left w:val="nil"/>
              <w:bottom w:val="nil"/>
              <w:right w:val="nil"/>
            </w:tcBorders>
            <w:vAlign w:val="center"/>
          </w:tcPr>
          <w:p w:rsidR="00524B92" w:rsidRPr="0096437A" w:rsidRDefault="00524B92" w:rsidP="006B59F8">
            <w:pPr>
              <w:rPr>
                <w:rFonts w:eastAsia="Times New Roman"/>
              </w:rPr>
            </w:pPr>
            <w:r>
              <w:rPr>
                <w:rFonts w:eastAsia="Times New Roman"/>
              </w:rPr>
              <w:t>594</w:t>
            </w:r>
            <w:r w:rsidRPr="0096437A">
              <w:rPr>
                <w:rFonts w:eastAsia="Times New Roman"/>
              </w:rPr>
              <w:t>(</w:t>
            </w:r>
            <w:r>
              <w:rPr>
                <w:rFonts w:eastAsia="Times New Roman"/>
              </w:rPr>
              <w:t>87</w:t>
            </w:r>
            <w:r w:rsidRPr="0096437A">
              <w:rPr>
                <w:rFonts w:eastAsia="Times New Roman"/>
              </w:rPr>
              <w:t xml:space="preserve">), </w:t>
            </w:r>
            <w:r>
              <w:rPr>
                <w:rFonts w:eastAsia="Times New Roman"/>
              </w:rPr>
              <w:t>558</w:t>
            </w:r>
            <w:r w:rsidRPr="0096437A">
              <w:rPr>
                <w:rFonts w:eastAsia="Times New Roman"/>
              </w:rPr>
              <w:t>–</w:t>
            </w:r>
            <w:r>
              <w:rPr>
                <w:rFonts w:eastAsia="Times New Roman"/>
              </w:rPr>
              <w:t>631</w:t>
            </w:r>
          </w:p>
        </w:tc>
      </w:tr>
      <w:tr w:rsidR="00524B92" w:rsidRPr="0096437A" w:rsidTr="006B59F8">
        <w:trPr>
          <w:trHeight w:val="304"/>
        </w:trPr>
        <w:tc>
          <w:tcPr>
            <w:tcW w:w="1183" w:type="dxa"/>
            <w:tcBorders>
              <w:top w:val="nil"/>
              <w:left w:val="nil"/>
              <w:bottom w:val="nil"/>
              <w:right w:val="nil"/>
            </w:tcBorders>
            <w:vAlign w:val="center"/>
          </w:tcPr>
          <w:p w:rsidR="00524B92" w:rsidRPr="0096437A" w:rsidRDefault="00524B92" w:rsidP="006B59F8">
            <w:pPr>
              <w:rPr>
                <w:rFonts w:eastAsia="Times New Roman"/>
              </w:rPr>
            </w:pPr>
            <w:r>
              <w:rPr>
                <w:rFonts w:eastAsia="Times New Roman"/>
              </w:rPr>
              <w:t>Inconsistent</w:t>
            </w:r>
          </w:p>
        </w:tc>
        <w:tc>
          <w:tcPr>
            <w:tcW w:w="1790" w:type="dxa"/>
            <w:tcBorders>
              <w:top w:val="nil"/>
              <w:left w:val="nil"/>
              <w:bottom w:val="nil"/>
              <w:right w:val="nil"/>
            </w:tcBorders>
            <w:vAlign w:val="center"/>
          </w:tcPr>
          <w:p w:rsidR="00524B92" w:rsidRPr="0096437A" w:rsidRDefault="00524B92" w:rsidP="006B59F8">
            <w:pPr>
              <w:rPr>
                <w:rFonts w:eastAsia="Times New Roman"/>
              </w:rPr>
            </w:pPr>
            <w:r>
              <w:rPr>
                <w:rFonts w:eastAsia="Times New Roman"/>
              </w:rPr>
              <w:t>560</w:t>
            </w:r>
            <w:r w:rsidRPr="0096437A">
              <w:rPr>
                <w:rFonts w:eastAsia="Times New Roman"/>
              </w:rPr>
              <w:t>(</w:t>
            </w:r>
            <w:r>
              <w:rPr>
                <w:rFonts w:eastAsia="Times New Roman"/>
              </w:rPr>
              <w:t>77</w:t>
            </w:r>
            <w:r w:rsidRPr="0096437A">
              <w:rPr>
                <w:rFonts w:eastAsia="Times New Roman"/>
              </w:rPr>
              <w:t xml:space="preserve">), </w:t>
            </w:r>
            <w:r>
              <w:rPr>
                <w:rFonts w:eastAsia="Times New Roman"/>
              </w:rPr>
              <w:t>528</w:t>
            </w:r>
            <w:r w:rsidRPr="0096437A">
              <w:rPr>
                <w:rFonts w:eastAsia="Times New Roman"/>
              </w:rPr>
              <w:t>–</w:t>
            </w:r>
            <w:r>
              <w:rPr>
                <w:rFonts w:eastAsia="Times New Roman"/>
              </w:rPr>
              <w:t>593</w:t>
            </w:r>
          </w:p>
        </w:tc>
        <w:tc>
          <w:tcPr>
            <w:tcW w:w="1814" w:type="dxa"/>
            <w:tcBorders>
              <w:top w:val="nil"/>
              <w:left w:val="nil"/>
              <w:bottom w:val="nil"/>
              <w:right w:val="nil"/>
            </w:tcBorders>
            <w:vAlign w:val="center"/>
          </w:tcPr>
          <w:p w:rsidR="00524B92" w:rsidRPr="0096437A" w:rsidRDefault="00524B92" w:rsidP="006B59F8">
            <w:pPr>
              <w:rPr>
                <w:rFonts w:eastAsia="Times New Roman"/>
              </w:rPr>
            </w:pPr>
            <w:r>
              <w:rPr>
                <w:rFonts w:eastAsia="Times New Roman"/>
              </w:rPr>
              <w:t>583</w:t>
            </w:r>
            <w:r w:rsidRPr="0096437A">
              <w:rPr>
                <w:rFonts w:eastAsia="Times New Roman"/>
              </w:rPr>
              <w:t>(</w:t>
            </w:r>
            <w:r>
              <w:rPr>
                <w:rFonts w:eastAsia="Times New Roman"/>
              </w:rPr>
              <w:t>86</w:t>
            </w:r>
            <w:r w:rsidRPr="0096437A">
              <w:rPr>
                <w:rFonts w:eastAsia="Times New Roman"/>
              </w:rPr>
              <w:t xml:space="preserve">), </w:t>
            </w:r>
            <w:r>
              <w:rPr>
                <w:rFonts w:eastAsia="Times New Roman"/>
              </w:rPr>
              <w:t>547</w:t>
            </w:r>
            <w:r w:rsidRPr="0096437A">
              <w:rPr>
                <w:rFonts w:eastAsia="Times New Roman"/>
              </w:rPr>
              <w:t>–</w:t>
            </w:r>
            <w:r>
              <w:rPr>
                <w:rFonts w:eastAsia="Times New Roman"/>
              </w:rPr>
              <w:t>620</w:t>
            </w:r>
          </w:p>
        </w:tc>
      </w:tr>
      <w:tr w:rsidR="00524B92" w:rsidRPr="0096437A" w:rsidTr="006B59F8">
        <w:trPr>
          <w:trHeight w:val="304"/>
        </w:trPr>
        <w:tc>
          <w:tcPr>
            <w:tcW w:w="1183" w:type="dxa"/>
            <w:tcBorders>
              <w:top w:val="nil"/>
              <w:left w:val="nil"/>
              <w:bottom w:val="single" w:sz="4" w:space="0" w:color="auto"/>
              <w:right w:val="nil"/>
            </w:tcBorders>
            <w:vAlign w:val="center"/>
          </w:tcPr>
          <w:p w:rsidR="00524B92" w:rsidRPr="0096437A" w:rsidRDefault="00524B92" w:rsidP="006B59F8">
            <w:pPr>
              <w:rPr>
                <w:rFonts w:eastAsia="Times New Roman"/>
              </w:rPr>
            </w:pPr>
            <w:r>
              <w:rPr>
                <w:rFonts w:eastAsia="Times New Roman"/>
              </w:rPr>
              <w:t>Control</w:t>
            </w:r>
          </w:p>
        </w:tc>
        <w:tc>
          <w:tcPr>
            <w:tcW w:w="1790" w:type="dxa"/>
            <w:tcBorders>
              <w:top w:val="nil"/>
              <w:left w:val="nil"/>
              <w:bottom w:val="single" w:sz="4" w:space="0" w:color="auto"/>
              <w:right w:val="nil"/>
            </w:tcBorders>
            <w:vAlign w:val="center"/>
          </w:tcPr>
          <w:p w:rsidR="00524B92" w:rsidRPr="0096437A" w:rsidRDefault="00524B92" w:rsidP="006B59F8">
            <w:pPr>
              <w:rPr>
                <w:rFonts w:eastAsia="Times New Roman"/>
              </w:rPr>
            </w:pPr>
            <w:r>
              <w:rPr>
                <w:rFonts w:eastAsia="Times New Roman"/>
              </w:rPr>
              <w:t>586</w:t>
            </w:r>
            <w:r w:rsidRPr="0096437A">
              <w:rPr>
                <w:rFonts w:eastAsia="Times New Roman"/>
              </w:rPr>
              <w:t>(</w:t>
            </w:r>
            <w:r>
              <w:rPr>
                <w:rFonts w:eastAsia="Times New Roman"/>
              </w:rPr>
              <w:t>92</w:t>
            </w:r>
            <w:r w:rsidRPr="0096437A">
              <w:rPr>
                <w:rFonts w:eastAsia="Times New Roman"/>
              </w:rPr>
              <w:t xml:space="preserve">), </w:t>
            </w:r>
            <w:r>
              <w:rPr>
                <w:rFonts w:eastAsia="Times New Roman"/>
              </w:rPr>
              <w:t>547</w:t>
            </w:r>
            <w:r w:rsidRPr="0096437A">
              <w:rPr>
                <w:rFonts w:eastAsia="Times New Roman"/>
              </w:rPr>
              <w:t>–</w:t>
            </w:r>
            <w:r>
              <w:rPr>
                <w:rFonts w:eastAsia="Times New Roman"/>
              </w:rPr>
              <w:t>625</w:t>
            </w:r>
          </w:p>
        </w:tc>
        <w:tc>
          <w:tcPr>
            <w:tcW w:w="1814" w:type="dxa"/>
            <w:tcBorders>
              <w:top w:val="nil"/>
              <w:left w:val="nil"/>
              <w:bottom w:val="single" w:sz="4" w:space="0" w:color="auto"/>
              <w:right w:val="nil"/>
            </w:tcBorders>
            <w:vAlign w:val="center"/>
          </w:tcPr>
          <w:p w:rsidR="00524B92" w:rsidRPr="0096437A" w:rsidRDefault="00524B92" w:rsidP="006B59F8">
            <w:pPr>
              <w:rPr>
                <w:rFonts w:eastAsia="Times New Roman"/>
              </w:rPr>
            </w:pPr>
            <w:r>
              <w:rPr>
                <w:rFonts w:eastAsia="Times New Roman"/>
              </w:rPr>
              <w:t>603</w:t>
            </w:r>
            <w:r w:rsidRPr="0096437A">
              <w:rPr>
                <w:rFonts w:eastAsia="Times New Roman"/>
              </w:rPr>
              <w:t>(9</w:t>
            </w:r>
            <w:r>
              <w:rPr>
                <w:rFonts w:eastAsia="Times New Roman"/>
              </w:rPr>
              <w:t>3</w:t>
            </w:r>
            <w:r w:rsidRPr="0096437A">
              <w:rPr>
                <w:rFonts w:eastAsia="Times New Roman"/>
              </w:rPr>
              <w:t xml:space="preserve">), </w:t>
            </w:r>
            <w:r>
              <w:rPr>
                <w:rFonts w:eastAsia="Times New Roman"/>
              </w:rPr>
              <w:t>564</w:t>
            </w:r>
            <w:r w:rsidRPr="0096437A">
              <w:rPr>
                <w:rFonts w:eastAsia="Times New Roman"/>
              </w:rPr>
              <w:t>–</w:t>
            </w:r>
            <w:r>
              <w:rPr>
                <w:rFonts w:eastAsia="Times New Roman"/>
              </w:rPr>
              <w:t>643</w:t>
            </w:r>
          </w:p>
        </w:tc>
      </w:tr>
    </w:tbl>
    <w:p w:rsidR="00524B92" w:rsidRDefault="00524B92" w:rsidP="00115341">
      <w:pPr>
        <w:pStyle w:val="TableCaption"/>
        <w:jc w:val="both"/>
      </w:pPr>
      <w:r>
        <w:t xml:space="preserve">Table 1: Mean RTs, standard deviations (SD) in parentheses, and 95% confidence intervals (CI) per condition, </w:t>
      </w:r>
      <w:proofErr w:type="spellStart"/>
      <w:r>
        <w:t>ms.</w:t>
      </w:r>
      <w:proofErr w:type="spellEnd"/>
    </w:p>
    <w:p w:rsidR="00524B92" w:rsidRDefault="00524B92" w:rsidP="00524B92">
      <w:pPr>
        <w:pStyle w:val="Para"/>
      </w:pPr>
      <w:proofErr w:type="spellStart"/>
      <w:r>
        <w:t>rANOVA</w:t>
      </w:r>
      <w:proofErr w:type="spellEnd"/>
      <w:r>
        <w:t xml:space="preserve"> obtained </w:t>
      </w:r>
      <w:r w:rsidRPr="00DC7F49">
        <w:t xml:space="preserve">a significant main effect of </w:t>
      </w:r>
      <w:r>
        <w:t xml:space="preserve">gaze cueing </w:t>
      </w:r>
      <w:r w:rsidRPr="00DC7F49">
        <w:t>(</w:t>
      </w:r>
      <w:proofErr w:type="gramStart"/>
      <w:r>
        <w:t>F(</w:t>
      </w:r>
      <w:proofErr w:type="gramEnd"/>
      <w:r>
        <w:t>1,</w:t>
      </w:r>
      <w:proofErr w:type="gramStart"/>
      <w:r>
        <w:t>23)=</w:t>
      </w:r>
      <w:proofErr w:type="gramEnd"/>
      <w:r>
        <w:t xml:space="preserve">32.31, p&lt;0.001 </w:t>
      </w:r>
      <w:r w:rsidRPr="00890E05">
        <w:t>η</w:t>
      </w:r>
      <w:r w:rsidRPr="00890E05">
        <w:rPr>
          <w:vertAlign w:val="subscript"/>
        </w:rPr>
        <w:t>p</w:t>
      </w:r>
      <w:r w:rsidRPr="00890E05">
        <w:rPr>
          <w:vertAlign w:val="superscript"/>
        </w:rPr>
        <w:t>2</w:t>
      </w:r>
      <w:r>
        <w:t>=0.58</w:t>
      </w:r>
      <w:r w:rsidRPr="00067881">
        <w:t>)</w:t>
      </w:r>
      <w:r>
        <w:t>,</w:t>
      </w:r>
      <w:r w:rsidRPr="00DC7F49">
        <w:t xml:space="preserve"> </w:t>
      </w:r>
      <w:r>
        <w:t xml:space="preserve">suggesting that color discrimination was faster in congruent (564 </w:t>
      </w:r>
      <w:proofErr w:type="spellStart"/>
      <w:r>
        <w:t>ms</w:t>
      </w:r>
      <w:proofErr w:type="spellEnd"/>
      <w:r>
        <w:t xml:space="preserve">) than in incongruent condition (594 </w:t>
      </w:r>
      <w:proofErr w:type="spellStart"/>
      <w:r>
        <w:t>ms</w:t>
      </w:r>
      <w:proofErr w:type="spellEnd"/>
      <w:r>
        <w:t xml:space="preserve">). Main effect of </w:t>
      </w:r>
      <w:r w:rsidRPr="0058086E">
        <w:rPr>
          <w:highlight w:val="yellow"/>
        </w:rPr>
        <w:t>action</w:t>
      </w:r>
      <w:r>
        <w:t xml:space="preserve">-outcome consistency was also significant </w:t>
      </w:r>
      <w:r w:rsidRPr="00DC7F49">
        <w:t>(</w:t>
      </w:r>
      <w:proofErr w:type="gramStart"/>
      <w:r>
        <w:t>F(</w:t>
      </w:r>
      <w:proofErr w:type="gramEnd"/>
      <w:r>
        <w:t>2,</w:t>
      </w:r>
      <w:proofErr w:type="gramStart"/>
      <w:r>
        <w:t>46)=</w:t>
      </w:r>
      <w:proofErr w:type="gramEnd"/>
      <w:r>
        <w:t xml:space="preserve">5.96, p=0.005, </w:t>
      </w:r>
      <w:r w:rsidRPr="00890E05">
        <w:t>η</w:t>
      </w:r>
      <w:r w:rsidRPr="00890E05">
        <w:rPr>
          <w:vertAlign w:val="subscript"/>
        </w:rPr>
        <w:t>p</w:t>
      </w:r>
      <w:r w:rsidRPr="00890E05">
        <w:rPr>
          <w:vertAlign w:val="superscript"/>
        </w:rPr>
        <w:t>2</w:t>
      </w:r>
      <w:r>
        <w:t>=0.21</w:t>
      </w:r>
      <w:r w:rsidRPr="00067881">
        <w:t>)</w:t>
      </w:r>
      <w:r>
        <w:t xml:space="preserve">. A post-hoc analysis showed that the control condition (595 </w:t>
      </w:r>
      <w:proofErr w:type="spellStart"/>
      <w:r>
        <w:t>ms</w:t>
      </w:r>
      <w:proofErr w:type="spellEnd"/>
      <w:r>
        <w:t xml:space="preserve">) produced slower responses than the consistent (570 </w:t>
      </w:r>
      <w:proofErr w:type="spellStart"/>
      <w:r>
        <w:t>ms</w:t>
      </w:r>
      <w:proofErr w:type="spellEnd"/>
      <w:r>
        <w:t xml:space="preserve">, p=0.027) and inconsistent (572 </w:t>
      </w:r>
      <w:proofErr w:type="spellStart"/>
      <w:r>
        <w:t>ms</w:t>
      </w:r>
      <w:proofErr w:type="spellEnd"/>
      <w:r>
        <w:t>, p=0.042) conditions. There was no difference between consistent and inconsistent conditions (p=0.776). Most importantly</w:t>
      </w:r>
      <w:r w:rsidRPr="00FB4FB1">
        <w:t>, a significant two-way interaction (</w:t>
      </w:r>
      <w:proofErr w:type="gramStart"/>
      <w:r>
        <w:t>F(</w:t>
      </w:r>
      <w:proofErr w:type="gramEnd"/>
      <w:r>
        <w:t>2,</w:t>
      </w:r>
      <w:proofErr w:type="gramStart"/>
      <w:r>
        <w:t>46)=</w:t>
      </w:r>
      <w:proofErr w:type="gramEnd"/>
      <w:r>
        <w:t>3.82</w:t>
      </w:r>
      <w:r w:rsidRPr="00FB4FB1">
        <w:t>, p</w:t>
      </w:r>
      <w:r>
        <w:t>=0.029,</w:t>
      </w:r>
      <w:r w:rsidRPr="00FB4FB1">
        <w:t xml:space="preserve"> η</w:t>
      </w:r>
      <w:r w:rsidRPr="00FB4FB1">
        <w:rPr>
          <w:vertAlign w:val="subscript"/>
        </w:rPr>
        <w:t>p</w:t>
      </w:r>
      <w:r w:rsidRPr="00FB4FB1">
        <w:rPr>
          <w:vertAlign w:val="superscript"/>
        </w:rPr>
        <w:t>2</w:t>
      </w:r>
      <w:r>
        <w:t>=0.14</w:t>
      </w:r>
      <w:r w:rsidRPr="00FB4FB1">
        <w:t>)</w:t>
      </w:r>
      <w:r>
        <w:t xml:space="preserve"> was obtained (see </w:t>
      </w:r>
      <w:r w:rsidRPr="00C13B0E">
        <w:t>Figure</w:t>
      </w:r>
      <w:r>
        <w:t xml:space="preserve"> 2)</w:t>
      </w:r>
      <w:r w:rsidRPr="00FB4FB1">
        <w:t xml:space="preserve">. A </w:t>
      </w:r>
      <w:r>
        <w:t>p</w:t>
      </w:r>
      <w:r w:rsidRPr="00FB4FB1">
        <w:t xml:space="preserve">ost-hoc comparison showed </w:t>
      </w:r>
      <w:r>
        <w:t xml:space="preserve">a significant gaze cueing congruence effect in action consistent condition (48 </w:t>
      </w:r>
      <w:proofErr w:type="spellStart"/>
      <w:r>
        <w:t>ms</w:t>
      </w:r>
      <w:proofErr w:type="spellEnd"/>
      <w:r>
        <w:t xml:space="preserve">, difference between incongruent and congruent, p=0.001) as well </w:t>
      </w:r>
      <w:r>
        <w:lastRenderedPageBreak/>
        <w:t xml:space="preserve">as a congruence effect in action inconsistent condition (23 </w:t>
      </w:r>
      <w:proofErr w:type="spellStart"/>
      <w:r>
        <w:t>ms</w:t>
      </w:r>
      <w:proofErr w:type="spellEnd"/>
      <w:r>
        <w:t xml:space="preserve">, p=0.036). Surprisingly, there were no congruence effect in the control condition (17 </w:t>
      </w:r>
      <w:proofErr w:type="spellStart"/>
      <w:r>
        <w:t>ms</w:t>
      </w:r>
      <w:proofErr w:type="spellEnd"/>
      <w:r>
        <w:t xml:space="preserve">, p=0359). In addition, and less importantly, Bonferroni post-hoc test found significant difference between congruent action consistent and control (p=0.039) and incongruent control (p&lt;0.001). The difference between the three mean conditions in incongruent gaze cue was insignificant (all </w:t>
      </w:r>
      <w:proofErr w:type="spellStart"/>
      <w:r>
        <w:t>ps</w:t>
      </w:r>
      <w:proofErr w:type="spellEnd"/>
      <w:r>
        <w:t>&gt;0.8) (cf. Figure 2).</w:t>
      </w:r>
    </w:p>
    <w:p w:rsidR="00524B92" w:rsidRDefault="00524B92" w:rsidP="00524B92">
      <w:pPr>
        <w:pStyle w:val="Para"/>
      </w:pPr>
    </w:p>
    <w:p w:rsidR="00524B92" w:rsidRDefault="00524B92" w:rsidP="00524B92">
      <w:pPr>
        <w:pStyle w:val="Image"/>
      </w:pPr>
      <w:r w:rsidRPr="00524B92">
        <w:drawing>
          <wp:inline distT="0" distB="0" distL="0" distR="0" wp14:anchorId="05A5A51C" wp14:editId="3EBBDE97">
            <wp:extent cx="2559423" cy="2182586"/>
            <wp:effectExtent l="0" t="0" r="825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wayInt-.tif"/>
                    <pic:cNvPicPr/>
                  </pic:nvPicPr>
                  <pic:blipFill>
                    <a:blip r:embed="rId15">
                      <a:extLst>
                        <a:ext uri="{28A0092B-C50C-407E-A947-70E740481C1C}">
                          <a14:useLocalDpi xmlns:a14="http://schemas.microsoft.com/office/drawing/2010/main" val="0"/>
                        </a:ext>
                      </a:extLst>
                    </a:blip>
                    <a:stretch>
                      <a:fillRect/>
                    </a:stretch>
                  </pic:blipFill>
                  <pic:spPr>
                    <a:xfrm>
                      <a:off x="0" y="0"/>
                      <a:ext cx="2559423" cy="2182586"/>
                    </a:xfrm>
                    <a:prstGeom prst="rect">
                      <a:avLst/>
                    </a:prstGeom>
                  </pic:spPr>
                </pic:pic>
              </a:graphicData>
            </a:graphic>
          </wp:inline>
        </w:drawing>
      </w:r>
    </w:p>
    <w:p w:rsidR="00524B92" w:rsidRDefault="00524B92" w:rsidP="00115341">
      <w:pPr>
        <w:pStyle w:val="FigureCaption"/>
        <w:jc w:val="both"/>
      </w:pPr>
      <w:r>
        <w:t>Figure 2: A gaze cuing by action consistency interaction. Vertical bars denote 95% CI.</w:t>
      </w:r>
      <w:r w:rsidRPr="00524B92">
        <w:t xml:space="preserve"> </w:t>
      </w:r>
      <w:r w:rsidRPr="00524B92">
        <w:t>* p&lt;0.05; ** p&lt;0.01.</w:t>
      </w:r>
      <w:r>
        <w:t xml:space="preserve">  </w:t>
      </w:r>
      <w:r>
        <w:t xml:space="preserve"> </w:t>
      </w:r>
    </w:p>
    <w:p w:rsidR="00524B92" w:rsidRPr="00115341" w:rsidRDefault="00524B92" w:rsidP="00524B92">
      <w:pPr>
        <w:pStyle w:val="Para"/>
        <w:rPr>
          <w:highlight w:val="yellow"/>
        </w:rPr>
      </w:pPr>
      <w:r>
        <w:t xml:space="preserve">Overall, the results suggested that the gaze cueing was affected by action consistence. In particular, the action-outcome consistent condition made the effect two times larger than in action inconsistent condition (43 vs 23 </w:t>
      </w:r>
      <w:proofErr w:type="spellStart"/>
      <w:r>
        <w:t>ms</w:t>
      </w:r>
      <w:proofErr w:type="spellEnd"/>
      <w:r>
        <w:t xml:space="preserve">). This result is in line with </w:t>
      </w:r>
      <w:r w:rsidRPr="00115341">
        <w:rPr>
          <w:highlight w:val="yellow"/>
        </w:rPr>
        <w:t>XXX</w:t>
      </w:r>
      <w:r>
        <w:t xml:space="preserve">. The surprising lack of congruency effect in control condition partially can be explain by low expectation level. Since in the control condition eye movement started in a random time between 500 and 1700 </w:t>
      </w:r>
      <w:proofErr w:type="spellStart"/>
      <w:r>
        <w:t>ms</w:t>
      </w:r>
      <w:proofErr w:type="spellEnd"/>
      <w:r>
        <w:t xml:space="preserve"> after cross appearance, participants would be much less prepared to focus in 350 </w:t>
      </w:r>
      <w:proofErr w:type="spellStart"/>
      <w:r>
        <w:t>ms</w:t>
      </w:r>
      <w:proofErr w:type="spellEnd"/>
      <w:r>
        <w:t xml:space="preserve"> for the color appearance. To test this, we run a correlational analysis between time of participants button press (action decision, </w:t>
      </w:r>
      <w:proofErr w:type="gramStart"/>
      <w:r>
        <w:t>Mean</w:t>
      </w:r>
      <w:proofErr w:type="gramEnd"/>
      <w:r>
        <w:t xml:space="preserve">=489 </w:t>
      </w:r>
      <w:proofErr w:type="spellStart"/>
      <w:r>
        <w:t>ms</w:t>
      </w:r>
      <w:proofErr w:type="spellEnd"/>
      <w:r>
        <w:t xml:space="preserve">) and random time of eye movement start in the control condition (Mean=1105 </w:t>
      </w:r>
      <w:proofErr w:type="spellStart"/>
      <w:r>
        <w:t>ms</w:t>
      </w:r>
      <w:proofErr w:type="spellEnd"/>
      <w:r>
        <w:t xml:space="preserve">) and color discrimination time in all six conditions. The result showed significant correlations between participants’ action decision time and RTs of six conditions (r varied between 0.472 and 0.712, p varied between 0.020 and &lt;0.001). In contrast, there was no correlation between six conditions’ RTs and eye moving time (all </w:t>
      </w:r>
      <w:proofErr w:type="spellStart"/>
      <w:r>
        <w:t>ps</w:t>
      </w:r>
      <w:proofErr w:type="spellEnd"/>
      <w:r>
        <w:t>&gt;0.8). Thus, the correlation analyses confirmed our assumption. In addition, it was obvious that the task to discriminate between the two similar colors was difficult (</w:t>
      </w:r>
      <w:r w:rsidRPr="00115341">
        <w:rPr>
          <w:highlight w:val="yellow"/>
        </w:rPr>
        <w:t>which was the original idea – to say more here).</w:t>
      </w:r>
    </w:p>
    <w:p w:rsidR="00524B92" w:rsidRDefault="00524B92" w:rsidP="00524B92">
      <w:pPr>
        <w:pStyle w:val="Para"/>
      </w:pPr>
      <w:r w:rsidRPr="00115341">
        <w:rPr>
          <w:highlight w:val="yellow"/>
        </w:rPr>
        <w:t>The experiment xxx.</w:t>
      </w:r>
    </w:p>
    <w:p w:rsidR="00524B92" w:rsidRDefault="00524B92" w:rsidP="00115341">
      <w:pPr>
        <w:pStyle w:val="Head2"/>
      </w:pPr>
      <w:r>
        <w:t>RT Distribution Analyses</w:t>
      </w:r>
    </w:p>
    <w:p w:rsidR="00524B92" w:rsidRDefault="00524B92" w:rsidP="00115341">
      <w:pPr>
        <w:pStyle w:val="Para"/>
      </w:pPr>
      <w:r>
        <w:t xml:space="preserve">RT distribution analyses were conducted on data tracing temporal dynamics of the gaze cuing effect, testing whether it occurs at </w:t>
      </w:r>
      <w:r>
        <w:t xml:space="preserve">earlier RTs and then decays or is developed over time. </w:t>
      </w:r>
      <w:proofErr w:type="gramStart"/>
      <w:r>
        <w:t>This analyses</w:t>
      </w:r>
      <w:proofErr w:type="gramEnd"/>
      <w:r>
        <w:t xml:space="preserve"> are important in that they can provide information on the level of </w:t>
      </w:r>
      <w:r w:rsidRPr="00115341">
        <w:rPr>
          <w:highlight w:val="yellow"/>
        </w:rPr>
        <w:t>automaticity</w:t>
      </w:r>
      <w:r>
        <w:t xml:space="preserve"> of the effect given that the effect was influenced by action consistency.</w:t>
      </w:r>
    </w:p>
    <w:p w:rsidR="00524B92" w:rsidRDefault="00524B92" w:rsidP="00115341">
      <w:pPr>
        <w:pStyle w:val="Para"/>
      </w:pPr>
      <w:r>
        <w:t xml:space="preserve">To make the analyses clearer, the data were not reduced into the effect size as it is often done (e.g., Proctor, Miles, &amp; Baroni, 2011) and the conditions were preserved. Individual participants’ data were rank-ordered per pitch and spatial position and then divided into five bins of 20%. Mean RTs per subject and per condition were computed per bin. Within-subject </w:t>
      </w:r>
      <w:proofErr w:type="spellStart"/>
      <w:r>
        <w:t>rANOVAs</w:t>
      </w:r>
      <w:proofErr w:type="spellEnd"/>
      <w:r>
        <w:t xml:space="preserve"> with factors gaze cuing (congruent vs. incongruent), action consistency (consistent vs. inconsistent vs. control) and bins (1-5) were conducted. To avoid </w:t>
      </w:r>
      <w:proofErr w:type="spellStart"/>
      <w:r>
        <w:t>multicomparison</w:t>
      </w:r>
      <w:proofErr w:type="spellEnd"/>
      <w:r>
        <w:t xml:space="preserve"> problem, the </w:t>
      </w:r>
      <w:proofErr w:type="spellStart"/>
      <w:r>
        <w:t>rANOVAs</w:t>
      </w:r>
      <w:proofErr w:type="spellEnd"/>
      <w:r>
        <w:t xml:space="preserve"> were run per action condition separately. Obviously, some results of the analyses mirrored the results presented above. These were only reported and not commented. Since the key interest was the time distribution of the effect across bins and action consistency, the 3-way interactions were submitted to Bonferroni post-hoc test independently of significance of the interactions. Graphical representation of the results is shown in Figure 3. </w:t>
      </w:r>
    </w:p>
    <w:p w:rsidR="00524B92" w:rsidRDefault="00524B92" w:rsidP="00115341">
      <w:pPr>
        <w:pStyle w:val="Para"/>
      </w:pPr>
      <w:r>
        <w:t>Bin analysis of action-outcome consistency showed a significant main effect of gaze cuing (</w:t>
      </w:r>
      <w:proofErr w:type="gramStart"/>
      <w:r>
        <w:t>F(</w:t>
      </w:r>
      <w:proofErr w:type="gramEnd"/>
      <w:r>
        <w:t>1,</w:t>
      </w:r>
      <w:proofErr w:type="gramStart"/>
      <w:r>
        <w:t>9)=</w:t>
      </w:r>
      <w:proofErr w:type="gramEnd"/>
      <w:r>
        <w:t>48.45, p&lt;0.001, ηp2=0.84) and expected main effect of bins (</w:t>
      </w:r>
      <w:proofErr w:type="gramStart"/>
      <w:r>
        <w:t>F(</w:t>
      </w:r>
      <w:proofErr w:type="gramEnd"/>
      <w:r>
        <w:t>4,</w:t>
      </w:r>
      <w:proofErr w:type="gramStart"/>
      <w:r>
        <w:t>36)=</w:t>
      </w:r>
      <w:proofErr w:type="gramEnd"/>
      <w:r>
        <w:t xml:space="preserve">357.79, p&lt;0.001, ηp2=0.98). Post-hoc analysis showed that significant differences were present across all bins (all </w:t>
      </w:r>
      <w:proofErr w:type="spellStart"/>
      <w:r>
        <w:t>ps</w:t>
      </w:r>
      <w:proofErr w:type="spellEnd"/>
      <w:r>
        <w:t>&lt;0.001). The interaction between bins and gaze cuing was also significant (</w:t>
      </w:r>
      <w:proofErr w:type="gramStart"/>
      <w:r>
        <w:t>F(</w:t>
      </w:r>
      <w:proofErr w:type="gramEnd"/>
      <w:r>
        <w:t>4,</w:t>
      </w:r>
      <w:proofErr w:type="gramStart"/>
      <w:r>
        <w:t>36)=</w:t>
      </w:r>
      <w:proofErr w:type="gramEnd"/>
      <w:r>
        <w:t xml:space="preserve">2.76, p=0.042, ηp2=0.24). The post-hoc test revealed differences between congruent and incongruent conditions across all bins (p varied from 0.022 to &lt;0.001) but the fifth one (p&gt;0.5) (cf. Figure 3).  </w:t>
      </w:r>
    </w:p>
    <w:p w:rsidR="00524B92" w:rsidRDefault="00524B92" w:rsidP="00115341">
      <w:pPr>
        <w:pStyle w:val="Para"/>
      </w:pPr>
      <w:r>
        <w:t>Bin analysis of action-outcome inconsistency showed a significant main effect of gaze cuing (</w:t>
      </w:r>
      <w:proofErr w:type="gramStart"/>
      <w:r>
        <w:t>F(</w:t>
      </w:r>
      <w:proofErr w:type="gramEnd"/>
      <w:r>
        <w:t>1,</w:t>
      </w:r>
      <w:proofErr w:type="gramStart"/>
      <w:r>
        <w:t>7)=</w:t>
      </w:r>
      <w:proofErr w:type="gramEnd"/>
      <w:r>
        <w:t>20.28, p=0.003, ηp2=0.74), main effect of bins (</w:t>
      </w:r>
      <w:proofErr w:type="gramStart"/>
      <w:r>
        <w:t>F(</w:t>
      </w:r>
      <w:proofErr w:type="gramEnd"/>
      <w:r>
        <w:t>4,</w:t>
      </w:r>
      <w:proofErr w:type="gramStart"/>
      <w:r>
        <w:t>28)=</w:t>
      </w:r>
      <w:proofErr w:type="gramEnd"/>
      <w:r>
        <w:t>334.23, p&lt;0.001, ηp2=0.98), and no interaction between bins and gaze cuing (</w:t>
      </w:r>
      <w:proofErr w:type="gramStart"/>
      <w:r>
        <w:t>F(</w:t>
      </w:r>
      <w:proofErr w:type="gramEnd"/>
      <w:r>
        <w:t>4,</w:t>
      </w:r>
      <w:proofErr w:type="gramStart"/>
      <w:r>
        <w:t>28)=</w:t>
      </w:r>
      <w:proofErr w:type="gramEnd"/>
      <w:r>
        <w:t xml:space="preserve">1.20, p=0.331, ηp2=0.15). Post-hoc analysis on bin main effect showed that significant differences were present across all bins (all </w:t>
      </w:r>
      <w:proofErr w:type="spellStart"/>
      <w:r>
        <w:t>ps</w:t>
      </w:r>
      <w:proofErr w:type="spellEnd"/>
      <w:r>
        <w:t>&lt;0.001). The post-hoc test on the interaction revealed differences in bin 3 (p=0.005) and 4 (p=0.005) only. The difference in bin 1 and 5 was highly insignificant (p=1.0), and in bin 2 close to significant level (p=0.08).</w:t>
      </w:r>
    </w:p>
    <w:p w:rsidR="00524B92" w:rsidRDefault="00524B92" w:rsidP="00115341">
      <w:pPr>
        <w:pStyle w:val="Para"/>
      </w:pPr>
      <w:r>
        <w:t>Bin analysis of control condition was very similar to the previous result: it showed a significant main effect of gaze cuing (</w:t>
      </w:r>
      <w:proofErr w:type="gramStart"/>
      <w:r>
        <w:t>F(</w:t>
      </w:r>
      <w:proofErr w:type="gramEnd"/>
      <w:r>
        <w:t>1,</w:t>
      </w:r>
      <w:proofErr w:type="gramStart"/>
      <w:r>
        <w:t>8)=</w:t>
      </w:r>
      <w:proofErr w:type="gramEnd"/>
      <w:r>
        <w:t>23.43, p=0.001, ηp2=0.75), main effect of bins (</w:t>
      </w:r>
      <w:proofErr w:type="gramStart"/>
      <w:r>
        <w:t>F(</w:t>
      </w:r>
      <w:proofErr w:type="gramEnd"/>
      <w:r>
        <w:t>4,</w:t>
      </w:r>
      <w:proofErr w:type="gramStart"/>
      <w:r>
        <w:t>32)=</w:t>
      </w:r>
      <w:proofErr w:type="gramEnd"/>
      <w:r>
        <w:t>835.92, p&lt;0.001, ηp2=0.99), and no interaction between bins and gaze cuing (</w:t>
      </w:r>
      <w:proofErr w:type="gramStart"/>
      <w:r>
        <w:t>F(</w:t>
      </w:r>
      <w:proofErr w:type="gramEnd"/>
      <w:r>
        <w:t>4,</w:t>
      </w:r>
      <w:proofErr w:type="gramStart"/>
      <w:r>
        <w:t>32)=</w:t>
      </w:r>
      <w:proofErr w:type="gramEnd"/>
      <w:r>
        <w:t xml:space="preserve">0.48, p=0.750, ηp2=0.57). Post-hoc analysis on bin main effect showed that significant differences were present across all bins (all </w:t>
      </w:r>
      <w:proofErr w:type="spellStart"/>
      <w:r>
        <w:t>ps</w:t>
      </w:r>
      <w:proofErr w:type="spellEnd"/>
      <w:r>
        <w:t>&lt;0.001). The post-hoc test on the highly insignificant interaction revealed differences only in bin 2 (p=0.001) and 3 (p=0.002). The differences in bin 1 and 5 (p=1.0) and in bin 4 (p=0.341) were highly insignificant.</w:t>
      </w:r>
    </w:p>
    <w:p w:rsidR="00524B92" w:rsidRDefault="00524B92" w:rsidP="00115341">
      <w:pPr>
        <w:pStyle w:val="Para"/>
      </w:pPr>
      <w:r>
        <w:t xml:space="preserve">Thus, very early impact of action-outcome consistency was observed in gaze cuing congruency effect, which was kept constant through the bins, disappearing in slow RTs (bin 5). At the same time, it was evident that action-outcome inconsistency as well as the control condition suffered from </w:t>
      </w:r>
      <w:r w:rsidRPr="00115341">
        <w:rPr>
          <w:highlight w:val="yellow"/>
        </w:rPr>
        <w:t>XXX</w:t>
      </w:r>
    </w:p>
    <w:p w:rsidR="00115341" w:rsidRDefault="00115341" w:rsidP="00115341">
      <w:pPr>
        <w:pStyle w:val="Image"/>
        <w:rPr>
          <w:noProof/>
        </w:rPr>
      </w:pPr>
      <w:r>
        <w:rPr>
          <w:noProof/>
        </w:rPr>
        <w:lastRenderedPageBreak/>
        <w:drawing>
          <wp:inline distT="0" distB="0" distL="0" distR="0" wp14:anchorId="73BAEA58" wp14:editId="64BD1B65">
            <wp:extent cx="1910986" cy="19824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n cons+.t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34419" cy="2006795"/>
                    </a:xfrm>
                    <a:prstGeom prst="rect">
                      <a:avLst/>
                    </a:prstGeom>
                  </pic:spPr>
                </pic:pic>
              </a:graphicData>
            </a:graphic>
          </wp:inline>
        </w:drawing>
      </w:r>
    </w:p>
    <w:p w:rsidR="00115341" w:rsidRDefault="00115341" w:rsidP="00115341">
      <w:pPr>
        <w:pStyle w:val="Image"/>
        <w:rPr>
          <w:noProof/>
        </w:rPr>
      </w:pPr>
    </w:p>
    <w:p w:rsidR="00115341" w:rsidRDefault="00115341" w:rsidP="00115341">
      <w:pPr>
        <w:pStyle w:val="Image"/>
        <w:rPr>
          <w:noProof/>
        </w:rPr>
      </w:pPr>
      <w:r>
        <w:rPr>
          <w:noProof/>
        </w:rPr>
        <w:drawing>
          <wp:inline distT="0" distB="0" distL="0" distR="0" wp14:anchorId="45D0D1F9" wp14:editId="771426F4">
            <wp:extent cx="1977660" cy="2027224"/>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n Incons+.tif"/>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88820" cy="2038664"/>
                    </a:xfrm>
                    <a:prstGeom prst="rect">
                      <a:avLst/>
                    </a:prstGeom>
                  </pic:spPr>
                </pic:pic>
              </a:graphicData>
            </a:graphic>
          </wp:inline>
        </w:drawing>
      </w:r>
    </w:p>
    <w:p w:rsidR="00115341" w:rsidRDefault="00115341" w:rsidP="00115341">
      <w:pPr>
        <w:pStyle w:val="Image"/>
        <w:rPr>
          <w:noProof/>
        </w:rPr>
      </w:pPr>
    </w:p>
    <w:p w:rsidR="00115341" w:rsidRDefault="00115341" w:rsidP="00115341">
      <w:pPr>
        <w:pStyle w:val="Image"/>
        <w:rPr>
          <w:noProof/>
        </w:rPr>
      </w:pPr>
      <w:r>
        <w:rPr>
          <w:noProof/>
        </w:rPr>
        <w:drawing>
          <wp:inline distT="0" distB="0" distL="0" distR="0" wp14:anchorId="5B275540" wp14:editId="0EFE66C6">
            <wp:extent cx="2013610" cy="2167495"/>
            <wp:effectExtent l="0" t="0" r="571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n control+.t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25463" cy="2180253"/>
                    </a:xfrm>
                    <a:prstGeom prst="rect">
                      <a:avLst/>
                    </a:prstGeom>
                  </pic:spPr>
                </pic:pic>
              </a:graphicData>
            </a:graphic>
          </wp:inline>
        </w:drawing>
      </w:r>
    </w:p>
    <w:p w:rsidR="00115341" w:rsidRDefault="00115341" w:rsidP="00115341">
      <w:pPr>
        <w:pStyle w:val="FigureCaption"/>
        <w:jc w:val="both"/>
      </w:pPr>
      <w:r>
        <w:t>Figure 3: RT distribution across 5 bins. Horizontal line represents bins from 1 to 5. Vertical bars denote 95% CI. * p&lt;0.05; ** p&lt;0.01; *** p&lt;0.001.</w:t>
      </w:r>
    </w:p>
    <w:p w:rsidR="00115341" w:rsidRDefault="00115341" w:rsidP="00115341">
      <w:pPr>
        <w:jc w:val="center"/>
      </w:pPr>
    </w:p>
    <w:p w:rsidR="00115341" w:rsidRPr="00F53E38" w:rsidRDefault="00115341" w:rsidP="00115341">
      <w:r>
        <w:t xml:space="preserve">Taken together, the distribution analyses confirmed and extended the results of the experiment, suggesting that the gaze cuing congruence effect can be influenced by action-outcome consistency, as well as suggested that the effect is depends on task difficulty and may be not fully automatic. </w:t>
      </w:r>
    </w:p>
    <w:p w:rsidR="00115341" w:rsidRDefault="00115341" w:rsidP="00115341">
      <w:pPr>
        <w:pStyle w:val="Head1"/>
      </w:pPr>
      <w:r w:rsidRPr="00115341">
        <w:t>Conclusion</w:t>
      </w:r>
    </w:p>
    <w:p w:rsidR="00115341" w:rsidRDefault="00115341" w:rsidP="00115341">
      <w:pPr>
        <w:pStyle w:val="Para"/>
      </w:pPr>
    </w:p>
    <w:p w:rsidR="00052C34" w:rsidRPr="00586A35" w:rsidRDefault="00052C34" w:rsidP="00052C34">
      <w:pPr>
        <w:pStyle w:val="AckHead"/>
        <w:rPr>
          <w14:ligatures w14:val="standard"/>
        </w:rPr>
      </w:pPr>
      <w:r w:rsidRPr="00586A35">
        <w:rPr>
          <w14:ligatures w14:val="standard"/>
        </w:rPr>
        <w:t>ACKNOWLEDGMENTS</w:t>
      </w:r>
    </w:p>
    <w:p w:rsidR="00115341" w:rsidRPr="00C269FC" w:rsidRDefault="00115341" w:rsidP="00115341">
      <w:r>
        <w:t>We are grateful to Mihail Karagerov for help in data gathering.</w:t>
      </w:r>
    </w:p>
    <w:p w:rsidR="00AA10C4" w:rsidRPr="00586A35" w:rsidRDefault="00AA10C4" w:rsidP="00DD476E">
      <w:pPr>
        <w:pStyle w:val="AckPara"/>
        <w:rPr>
          <w14:ligatures w14:val="standard"/>
        </w:rPr>
      </w:pPr>
    </w:p>
    <w:p w:rsidR="0007392C" w:rsidRPr="00586A35" w:rsidRDefault="00AA5BF1" w:rsidP="00AA5BF1">
      <w:pPr>
        <w:pStyle w:val="ReferenceHead"/>
        <w:rPr>
          <w14:ligatures w14:val="standard"/>
        </w:rPr>
      </w:pPr>
      <w:r w:rsidRPr="00586A35">
        <w:rPr>
          <w14:ligatures w14:val="standard"/>
        </w:rPr>
        <w:t>REFERENCES</w:t>
      </w:r>
    </w:p>
    <w:p w:rsidR="00732D22" w:rsidRPr="000E64FC" w:rsidRDefault="00586A35" w:rsidP="00732D22">
      <w:pPr>
        <w:pStyle w:val="Bibentry"/>
        <w:rPr>
          <w:szCs w:val="14"/>
          <w14:ligatures w14:val="standard"/>
        </w:rPr>
      </w:pPr>
      <w:r w:rsidRPr="00586A35">
        <w:rPr>
          <w14:ligatures w14:val="standard"/>
        </w:rPr>
        <w:t>[1]</w:t>
      </w:r>
      <w:r w:rsidR="00BC5BDA" w:rsidRPr="00586A35">
        <w:rPr>
          <w14:ligatures w14:val="standard"/>
        </w:rPr>
        <w:tab/>
      </w:r>
      <w:r w:rsidR="000E64FC" w:rsidRPr="000E64FC">
        <w:rPr>
          <w:rFonts w:eastAsia="Times New Roman"/>
          <w:szCs w:val="14"/>
        </w:rPr>
        <w:t>Patricia S. Abril and Robert Plant, 2007. The patent holder's dilemma: Buy, sell, or troll? </w:t>
      </w:r>
      <w:r w:rsidR="000E64FC" w:rsidRPr="000E64FC">
        <w:rPr>
          <w:rFonts w:eastAsia="Times New Roman"/>
          <w:i/>
          <w:iCs/>
          <w:szCs w:val="14"/>
        </w:rPr>
        <w:t xml:space="preserve">Commun. ACM </w:t>
      </w:r>
      <w:r w:rsidR="000E64FC" w:rsidRPr="000E64FC">
        <w:rPr>
          <w:rFonts w:eastAsia="Times New Roman"/>
          <w:iCs/>
          <w:szCs w:val="14"/>
        </w:rPr>
        <w:t>50, 1 (Jan, 2007),</w:t>
      </w:r>
      <w:r w:rsidR="000E64FC" w:rsidRPr="000E64FC">
        <w:rPr>
          <w:rFonts w:eastAsia="Times New Roman"/>
          <w:szCs w:val="14"/>
        </w:rPr>
        <w:t xml:space="preserve"> 36-44. DOI: </w:t>
      </w:r>
      <w:hyperlink r:id="rId19" w:history="1">
        <w:r w:rsidR="000E64FC" w:rsidRPr="000E64FC">
          <w:rPr>
            <w:rStyle w:val="Hyperlink"/>
            <w:rFonts w:eastAsia="Times New Roman"/>
            <w:szCs w:val="14"/>
          </w:rPr>
          <w:t>https://doi.org/</w:t>
        </w:r>
      </w:hyperlink>
      <w:r w:rsidR="000E64FC" w:rsidRPr="000E64FC">
        <w:rPr>
          <w:rFonts w:eastAsia="Times New Roman"/>
          <w:szCs w:val="14"/>
        </w:rPr>
        <w:t>10.1145/1188913.1188915</w:t>
      </w:r>
      <w:r w:rsidR="00E943FF" w:rsidRPr="000E64FC">
        <w:rPr>
          <w:szCs w:val="14"/>
          <w14:ligatures w14:val="standard"/>
        </w:rPr>
        <w:t>.</w:t>
      </w:r>
    </w:p>
    <w:p w:rsidR="000E64FC" w:rsidRPr="000E64FC" w:rsidRDefault="00586A35" w:rsidP="00732D22">
      <w:pPr>
        <w:pStyle w:val="Bibentry"/>
      </w:pPr>
      <w:r w:rsidRPr="000E64FC">
        <w:rPr>
          <w14:ligatures w14:val="standard"/>
        </w:rPr>
        <w:t>[2]</w:t>
      </w:r>
      <w:r w:rsidR="00BC5BDA" w:rsidRPr="000E64FC">
        <w:rPr>
          <w14:ligatures w14:val="standard"/>
        </w:rPr>
        <w:tab/>
      </w:r>
      <w:r w:rsidR="000E64FC" w:rsidRPr="000E64FC">
        <w:t>Sten Andler. 1979. Predicate path expressions. In </w:t>
      </w:r>
      <w:r w:rsidR="000E64FC" w:rsidRPr="000E64FC">
        <w:rPr>
          <w:i/>
          <w:iCs/>
        </w:rPr>
        <w:t>Proceedings of the 6th. ACM SIGACT-SIGPLAN Symposium on Principles of Programming Languages (POPL '79)</w:t>
      </w:r>
      <w:r w:rsidR="000E64FC" w:rsidRPr="000E64FC">
        <w:t xml:space="preserve">. ACM Press, New York, NY, 226-236. </w:t>
      </w:r>
      <w:proofErr w:type="spellStart"/>
      <w:r w:rsidR="000E64FC" w:rsidRPr="000E64FC">
        <w:t>DOI:https</w:t>
      </w:r>
      <w:proofErr w:type="spellEnd"/>
      <w:r w:rsidR="000E64FC" w:rsidRPr="000E64FC">
        <w:t>://doi.org/10.1145/567752.567774</w:t>
      </w:r>
    </w:p>
    <w:p w:rsidR="00732D22" w:rsidRPr="00586A35" w:rsidRDefault="000E64FC" w:rsidP="00732D22">
      <w:pPr>
        <w:pStyle w:val="Bibentry"/>
        <w:rPr>
          <w14:ligatures w14:val="standard"/>
        </w:rPr>
      </w:pPr>
      <w:r w:rsidRPr="00586A35">
        <w:rPr>
          <w14:ligatures w14:val="standard"/>
        </w:rPr>
        <w:t xml:space="preserve"> </w:t>
      </w:r>
      <w:r w:rsidR="00586A35" w:rsidRPr="00586A35">
        <w:rPr>
          <w14:ligatures w14:val="standard"/>
        </w:rPr>
        <w:t>[3]</w:t>
      </w:r>
      <w:r w:rsidR="00BC5BDA" w:rsidRPr="00586A35">
        <w:rPr>
          <w14:ligatures w14:val="standard"/>
        </w:rPr>
        <w:tab/>
      </w:r>
      <w:r>
        <w:t>Ian Editor (Ed.). 2007. </w:t>
      </w:r>
      <w:r>
        <w:rPr>
          <w:i/>
          <w:iCs/>
        </w:rPr>
        <w:t>The title of book one</w:t>
      </w:r>
      <w:r>
        <w:t xml:space="preserve"> (1st. ed.). The name of the series one, Vol. 9. University of Chicago Press, Chicago. </w:t>
      </w:r>
      <w:proofErr w:type="spellStart"/>
      <w:r>
        <w:t>DOI:https</w:t>
      </w:r>
      <w:proofErr w:type="spellEnd"/>
      <w:r>
        <w:t>://doi.org/10.1007/3-540-09237-4</w:t>
      </w:r>
      <w:r w:rsidR="00E943FF" w:rsidRPr="00586A35">
        <w:rPr>
          <w14:ligatures w14:val="standard"/>
        </w:rPr>
        <w:t>.</w:t>
      </w:r>
    </w:p>
    <w:p w:rsidR="00732D22" w:rsidRPr="00586A35" w:rsidRDefault="00586A35" w:rsidP="00D341FA">
      <w:pPr>
        <w:pStyle w:val="Bibentry"/>
        <w:rPr>
          <w14:ligatures w14:val="standard"/>
        </w:rPr>
      </w:pPr>
      <w:r w:rsidRPr="00586A35">
        <w:rPr>
          <w14:ligatures w14:val="standard"/>
        </w:rPr>
        <w:t>[4]</w:t>
      </w:r>
      <w:r w:rsidR="00BC5BDA" w:rsidRPr="00586A35">
        <w:rPr>
          <w14:ligatures w14:val="standard"/>
        </w:rPr>
        <w:tab/>
      </w:r>
      <w:r w:rsidR="000E64FC">
        <w:t>David Kosiur. 2001. </w:t>
      </w:r>
      <w:r w:rsidR="000E64FC">
        <w:rPr>
          <w:i/>
          <w:iCs/>
        </w:rPr>
        <w:t>Understanding Policy-Based Networking</w:t>
      </w:r>
      <w:r w:rsidR="000E64FC">
        <w:t> (2nd. ed.). Wiley, New York, NY.</w:t>
      </w:r>
      <w:r w:rsidR="00E943FF" w:rsidRPr="00586A35">
        <w:rPr>
          <w14:ligatures w14:val="standard"/>
        </w:rPr>
        <w:t>.</w:t>
      </w:r>
    </w:p>
    <w:p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Name:ACM Woodstock conference</w:t>
      </w:r>
    </w:p>
    <w:p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Short Name:WOODSTOCK’18</w:t>
      </w:r>
    </w:p>
    <w:p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Location:El Paso, Texas USA</w:t>
      </w:r>
    </w:p>
    <w:p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ISBN:978-1-4503-0000-0/18/06</w:t>
      </w:r>
    </w:p>
    <w:p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Year:2018</w:t>
      </w:r>
    </w:p>
    <w:p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Date:June</w:t>
      </w:r>
    </w:p>
    <w:p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Year:2018</w:t>
      </w:r>
    </w:p>
    <w:p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Statement:rightsretained</w:t>
      </w:r>
    </w:p>
    <w:p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DOI:10.1145/1234567890</w:t>
      </w:r>
    </w:p>
    <w:p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RRH: F. Surname et al.</w:t>
      </w:r>
    </w:p>
    <w:p w:rsidR="00586A35" w:rsidRPr="00586A35" w:rsidRDefault="00C14A4F" w:rsidP="00C14A4F">
      <w:pPr>
        <w:pStyle w:val="MetadataHead"/>
        <w:rPr>
          <w:color w:val="auto"/>
          <w:sz w:val="14"/>
          <w:szCs w:val="14"/>
          <w14:ligatures w14:val="standard"/>
        </w:rPr>
      </w:pPr>
      <w:r w:rsidRPr="00C14A4F">
        <w:rPr>
          <w:vanish/>
          <w:color w:val="auto"/>
          <w:sz w:val="14"/>
          <w:szCs w:val="14"/>
          <w14:ligatures w14:val="standard"/>
        </w:rPr>
        <w:t>Price:$15.00</w:t>
      </w:r>
      <w:bookmarkStart w:id="1" w:name="intm"/>
      <w:bookmarkEnd w:id="1"/>
    </w:p>
    <w:sectPr w:rsidR="00586A35" w:rsidRPr="00586A35"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46C7" w:rsidRDefault="00DA46C7">
      <w:r>
        <w:separator/>
      </w:r>
    </w:p>
  </w:endnote>
  <w:endnote w:type="continuationSeparator" w:id="0">
    <w:p w:rsidR="00DA46C7" w:rsidRDefault="00DA46C7">
      <w:r>
        <w:continuationSeparator/>
      </w:r>
    </w:p>
  </w:endnote>
  <w:endnote w:type="continuationNotice" w:id="1">
    <w:p w:rsidR="00DA46C7" w:rsidRDefault="00DA46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CC"/>
    <w:family w:val="swiss"/>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font>
  <w:font w:name="Cambria">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Arial Unicode MS">
    <w:altName w:val="Yu Gothic"/>
    <w:panose1 w:val="020B0604020202020204"/>
    <w:charset w:val="80"/>
    <w:family w:val="swiss"/>
    <w:pitch w:val="variable"/>
    <w:sig w:usb0="F7FFAFFF" w:usb1="E9DFFFFF" w:usb2="0000003F" w:usb3="00000000" w:csb0="003F01FF" w:csb1="00000000"/>
  </w:font>
  <w:font w:name="Trebuchet MS">
    <w:panose1 w:val="020B0603020202020204"/>
    <w:charset w:val="CC"/>
    <w:family w:val="swiss"/>
    <w:pitch w:val="variable"/>
    <w:sig w:usb0="00000687" w:usb1="00000000" w:usb2="00000000" w:usb3="00000000" w:csb0="0000009F" w:csb1="00000000"/>
  </w:font>
  <w:font w:name="Lucida Console">
    <w:panose1 w:val="020B0609040504020204"/>
    <w:charset w:val="CC"/>
    <w:family w:val="modern"/>
    <w:pitch w:val="fixed"/>
    <w:sig w:usb0="8000028F" w:usb1="00001800" w:usb2="00000000" w:usb3="00000000" w:csb0="0000001F" w:csb1="00000000"/>
  </w:font>
  <w:font w:name="Cambria Math">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CC"/>
    <w:family w:val="modern"/>
    <w:pitch w:val="fixed"/>
    <w:sig w:usb0="E00006FF" w:usb1="0000FCFF" w:usb2="00000001" w:usb3="00000000" w:csb0="0000019F" w:csb1="00000000"/>
  </w:font>
  <w:font w:name="Verdana">
    <w:panose1 w:val="020B0604030504040204"/>
    <w:charset w:val="CC"/>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6A35" w:rsidRPr="00586A35" w:rsidRDefault="00586A35" w:rsidP="00586A35">
    <w:pPr>
      <w:pStyle w:val="Footer"/>
      <w:rPr>
        <w:rStyle w:val="PageNumber"/>
        <w:rFonts w:ascii="Linux Biolinum" w:hAnsi="Linux Biolinum" w:cs="Linux Biolinum"/>
      </w:rPr>
    </w:pPr>
  </w:p>
  <w:p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46C7" w:rsidRDefault="00DA46C7">
      <w:r>
        <w:separator/>
      </w:r>
    </w:p>
  </w:footnote>
  <w:footnote w:type="continuationSeparator" w:id="0">
    <w:p w:rsidR="00DA46C7" w:rsidRDefault="00DA46C7">
      <w:r>
        <w:continuationSeparator/>
      </w:r>
    </w:p>
  </w:footnote>
  <w:footnote w:type="continuationNotice" w:id="1">
    <w:p w:rsidR="00DA46C7" w:rsidRDefault="00DA46C7"/>
  </w:footnote>
  <w:footnote w:id="2">
    <w:p w:rsidR="00DC112E" w:rsidRDefault="00DC112E" w:rsidP="00DC112E">
      <w:pPr>
        <w:pStyle w:val="FootnoteText"/>
      </w:pPr>
      <w:r>
        <w:rPr>
          <w:rStyle w:val="FootnoteReference"/>
        </w:rPr>
        <w:footnoteRef/>
      </w:r>
      <w:r>
        <w:t xml:space="preserve"> The existing </w:t>
      </w:r>
      <w:proofErr w:type="spellStart"/>
      <w:r>
        <w:t>Bibstrip</w:t>
      </w:r>
      <w:proofErr w:type="spellEnd"/>
      <w:r>
        <w:t xml:space="preserve"> data, copyright text and permission block in the sample file are dummy values, so the user needs to provide the correct values required for the submission in the metadata dialog box.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586A35" w:rsidRPr="00586A35" w:rsidTr="00586A35">
      <w:tc>
        <w:tcPr>
          <w:tcW w:w="2500" w:type="pct"/>
          <w:vAlign w:val="center"/>
        </w:tcPr>
        <w:p w:rsidR="00586A35" w:rsidRPr="00586A35" w:rsidRDefault="00586A35" w:rsidP="00586A35">
          <w:pPr>
            <w:pStyle w:val="Header"/>
            <w:tabs>
              <w:tab w:val="clear" w:pos="4320"/>
              <w:tab w:val="clear" w:pos="8640"/>
            </w:tabs>
            <w:jc w:val="left"/>
            <w:rPr>
              <w:rFonts w:ascii="Linux Biolinum" w:hAnsi="Linux Biolinum" w:cs="Linux Biolinum"/>
            </w:rPr>
          </w:pPr>
          <w:r w:rsidRPr="00586A35">
            <w:rPr>
              <w:rFonts w:ascii="Linux Biolinum" w:hAnsi="Linux Biolinum" w:cs="Linux Biolinum"/>
            </w:rPr>
            <w:t>WOODSTOCK’18, June, 2018, El Paso, Texas USA</w:t>
          </w:r>
        </w:p>
      </w:tc>
      <w:tc>
        <w:tcPr>
          <w:tcW w:w="2500" w:type="pct"/>
          <w:vAlign w:val="center"/>
        </w:tcPr>
        <w:p w:rsidR="00586A35" w:rsidRPr="00586A35" w:rsidRDefault="00586A35" w:rsidP="00586A35">
          <w:pPr>
            <w:pStyle w:val="Header"/>
            <w:tabs>
              <w:tab w:val="clear" w:pos="4320"/>
              <w:tab w:val="clear" w:pos="8640"/>
            </w:tabs>
            <w:jc w:val="right"/>
            <w:rPr>
              <w:rFonts w:ascii="Linux Biolinum" w:hAnsi="Linux Biolinum" w:cs="Linux Biolinum"/>
            </w:rPr>
          </w:pPr>
          <w:r w:rsidRPr="00586A35">
            <w:rPr>
              <w:rFonts w:ascii="Linux Biolinum" w:hAnsi="Linux Biolinum" w:cs="Linux Biolinum"/>
            </w:rPr>
            <w:t>F. Surname et al.</w:t>
          </w:r>
        </w:p>
      </w:tc>
    </w:tr>
  </w:tbl>
  <w:p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586A35" w:rsidRPr="00586A35" w:rsidTr="00586A35">
      <w:tc>
        <w:tcPr>
          <w:tcW w:w="2500" w:type="pct"/>
          <w:vAlign w:val="center"/>
        </w:tcPr>
        <w:p w:rsidR="00586A35" w:rsidRPr="00586A35" w:rsidRDefault="00586A35" w:rsidP="00586A35">
          <w:pPr>
            <w:pStyle w:val="Header"/>
            <w:tabs>
              <w:tab w:val="clear" w:pos="4320"/>
              <w:tab w:val="clear" w:pos="8640"/>
            </w:tabs>
            <w:jc w:val="left"/>
            <w:rPr>
              <w:rFonts w:ascii="Linux Biolinum" w:hAnsi="Linux Biolinum" w:cs="Linux Biolinum"/>
            </w:rPr>
          </w:pPr>
          <w:r w:rsidRPr="00586A35">
            <w:rPr>
              <w:rFonts w:ascii="Linux Biolinum" w:hAnsi="Linux Biolinum" w:cs="Linux Biolinum"/>
            </w:rPr>
            <w:t>Insert Your Title Here</w:t>
          </w:r>
        </w:p>
      </w:tc>
      <w:tc>
        <w:tcPr>
          <w:tcW w:w="2500" w:type="pct"/>
          <w:vAlign w:val="center"/>
        </w:tcPr>
        <w:p w:rsidR="00586A35" w:rsidRPr="00586A35" w:rsidRDefault="00586A35" w:rsidP="00586A35">
          <w:pPr>
            <w:pStyle w:val="Header"/>
            <w:tabs>
              <w:tab w:val="clear" w:pos="4320"/>
              <w:tab w:val="clear" w:pos="8640"/>
            </w:tabs>
            <w:jc w:val="right"/>
            <w:rPr>
              <w:rFonts w:ascii="Linux Biolinum" w:hAnsi="Linux Biolinum" w:cs="Linux Biolinum"/>
            </w:rPr>
          </w:pPr>
          <w:r w:rsidRPr="00586A35">
            <w:rPr>
              <w:rFonts w:ascii="Linux Biolinum" w:hAnsi="Linux Biolinum" w:cs="Linux Biolinum"/>
            </w:rPr>
            <w:t>WOODSTOCK’18, June, 2018, El Paso, Texas USA</w:t>
          </w:r>
        </w:p>
      </w:tc>
    </w:tr>
  </w:tbl>
  <w:p w:rsidR="002B01E4" w:rsidRPr="00586A35" w:rsidRDefault="002B01E4"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6"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7"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19"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2"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5"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6"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8"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9"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3784449">
    <w:abstractNumId w:val="28"/>
  </w:num>
  <w:num w:numId="2" w16cid:durableId="966471949">
    <w:abstractNumId w:val="14"/>
  </w:num>
  <w:num w:numId="3" w16cid:durableId="1601376074">
    <w:abstractNumId w:val="10"/>
  </w:num>
  <w:num w:numId="4" w16cid:durableId="896669996">
    <w:abstractNumId w:val="27"/>
  </w:num>
  <w:num w:numId="5" w16cid:durableId="1750037424">
    <w:abstractNumId w:val="19"/>
  </w:num>
  <w:num w:numId="6" w16cid:durableId="1359040496">
    <w:abstractNumId w:val="15"/>
  </w:num>
  <w:num w:numId="7" w16cid:durableId="1738630154">
    <w:abstractNumId w:val="25"/>
  </w:num>
  <w:num w:numId="8" w16cid:durableId="837157179">
    <w:abstractNumId w:val="21"/>
  </w:num>
  <w:num w:numId="9" w16cid:durableId="519198865">
    <w:abstractNumId w:val="24"/>
  </w:num>
  <w:num w:numId="10" w16cid:durableId="299456110">
    <w:abstractNumId w:val="9"/>
  </w:num>
  <w:num w:numId="11" w16cid:durableId="2090538030">
    <w:abstractNumId w:val="7"/>
  </w:num>
  <w:num w:numId="12" w16cid:durableId="1116949800">
    <w:abstractNumId w:val="6"/>
  </w:num>
  <w:num w:numId="13" w16cid:durableId="1875000679">
    <w:abstractNumId w:val="5"/>
  </w:num>
  <w:num w:numId="14" w16cid:durableId="1778595775">
    <w:abstractNumId w:val="4"/>
  </w:num>
  <w:num w:numId="15" w16cid:durableId="806123730">
    <w:abstractNumId w:val="8"/>
  </w:num>
  <w:num w:numId="16" w16cid:durableId="905844409">
    <w:abstractNumId w:val="3"/>
  </w:num>
  <w:num w:numId="17" w16cid:durableId="675811301">
    <w:abstractNumId w:val="2"/>
  </w:num>
  <w:num w:numId="18" w16cid:durableId="370151991">
    <w:abstractNumId w:val="1"/>
  </w:num>
  <w:num w:numId="19" w16cid:durableId="1620067883">
    <w:abstractNumId w:val="0"/>
  </w:num>
  <w:num w:numId="20" w16cid:durableId="370230272">
    <w:abstractNumId w:val="20"/>
  </w:num>
  <w:num w:numId="21" w16cid:durableId="2007703961">
    <w:abstractNumId w:val="23"/>
  </w:num>
  <w:num w:numId="22" w16cid:durableId="178475013">
    <w:abstractNumId w:val="29"/>
  </w:num>
  <w:num w:numId="23" w16cid:durableId="893348071">
    <w:abstractNumId w:val="13"/>
  </w:num>
  <w:num w:numId="24" w16cid:durableId="1085028232">
    <w:abstractNumId w:val="26"/>
  </w:num>
  <w:num w:numId="25" w16cid:durableId="660810133">
    <w:abstractNumId w:val="22"/>
  </w:num>
  <w:num w:numId="26" w16cid:durableId="1148091858">
    <w:abstractNumId w:val="16"/>
  </w:num>
  <w:num w:numId="27" w16cid:durableId="66278176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22258280">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90857444">
    <w:abstractNumId w:val="17"/>
  </w:num>
  <w:num w:numId="30" w16cid:durableId="1459297186">
    <w:abstractNumId w:val="12"/>
  </w:num>
  <w:num w:numId="31" w16cid:durableId="1872761263">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0"/>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proofState w:spelling="clean" w:grammar="clean"/>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footnot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392C"/>
    <w:rsid w:val="000019C1"/>
    <w:rsid w:val="0000598B"/>
    <w:rsid w:val="00035FAD"/>
    <w:rsid w:val="00041330"/>
    <w:rsid w:val="00045252"/>
    <w:rsid w:val="00047398"/>
    <w:rsid w:val="00050EEF"/>
    <w:rsid w:val="00052A1A"/>
    <w:rsid w:val="00052C34"/>
    <w:rsid w:val="00056777"/>
    <w:rsid w:val="00062D29"/>
    <w:rsid w:val="000713CD"/>
    <w:rsid w:val="000717FA"/>
    <w:rsid w:val="00072E69"/>
    <w:rsid w:val="0007392C"/>
    <w:rsid w:val="000739F9"/>
    <w:rsid w:val="00077680"/>
    <w:rsid w:val="00080E27"/>
    <w:rsid w:val="000819C0"/>
    <w:rsid w:val="0008431E"/>
    <w:rsid w:val="000C050B"/>
    <w:rsid w:val="000E118B"/>
    <w:rsid w:val="000E278E"/>
    <w:rsid w:val="000E64FC"/>
    <w:rsid w:val="000E7A87"/>
    <w:rsid w:val="000F6090"/>
    <w:rsid w:val="001041A3"/>
    <w:rsid w:val="0010534D"/>
    <w:rsid w:val="00115341"/>
    <w:rsid w:val="00125AC6"/>
    <w:rsid w:val="00127D30"/>
    <w:rsid w:val="0013113A"/>
    <w:rsid w:val="001314CF"/>
    <w:rsid w:val="001363F5"/>
    <w:rsid w:val="00140C02"/>
    <w:rsid w:val="00141A17"/>
    <w:rsid w:val="0014244B"/>
    <w:rsid w:val="00142FEA"/>
    <w:rsid w:val="001453E7"/>
    <w:rsid w:val="00145419"/>
    <w:rsid w:val="00145486"/>
    <w:rsid w:val="00152510"/>
    <w:rsid w:val="001566AE"/>
    <w:rsid w:val="001751F7"/>
    <w:rsid w:val="00193445"/>
    <w:rsid w:val="001961CD"/>
    <w:rsid w:val="001A06AF"/>
    <w:rsid w:val="001A43B1"/>
    <w:rsid w:val="001A71BB"/>
    <w:rsid w:val="001B29D6"/>
    <w:rsid w:val="001D5887"/>
    <w:rsid w:val="001E2720"/>
    <w:rsid w:val="001E71D7"/>
    <w:rsid w:val="0020294A"/>
    <w:rsid w:val="002233F8"/>
    <w:rsid w:val="00245119"/>
    <w:rsid w:val="00250FEF"/>
    <w:rsid w:val="00252596"/>
    <w:rsid w:val="00264B6B"/>
    <w:rsid w:val="00270347"/>
    <w:rsid w:val="0027195D"/>
    <w:rsid w:val="002738DA"/>
    <w:rsid w:val="00282789"/>
    <w:rsid w:val="00290DF5"/>
    <w:rsid w:val="00292645"/>
    <w:rsid w:val="0029583F"/>
    <w:rsid w:val="002A517A"/>
    <w:rsid w:val="002B01E4"/>
    <w:rsid w:val="002B1F59"/>
    <w:rsid w:val="002D26C4"/>
    <w:rsid w:val="002F069E"/>
    <w:rsid w:val="002F2289"/>
    <w:rsid w:val="002F2EB2"/>
    <w:rsid w:val="00301545"/>
    <w:rsid w:val="00303FAD"/>
    <w:rsid w:val="003057B1"/>
    <w:rsid w:val="00307501"/>
    <w:rsid w:val="00317850"/>
    <w:rsid w:val="00321DDC"/>
    <w:rsid w:val="0032775A"/>
    <w:rsid w:val="0033342D"/>
    <w:rsid w:val="003342CD"/>
    <w:rsid w:val="00336D12"/>
    <w:rsid w:val="0034235E"/>
    <w:rsid w:val="00356296"/>
    <w:rsid w:val="00357671"/>
    <w:rsid w:val="00373175"/>
    <w:rsid w:val="0037572A"/>
    <w:rsid w:val="00376CCC"/>
    <w:rsid w:val="0038080D"/>
    <w:rsid w:val="00390853"/>
    <w:rsid w:val="00392395"/>
    <w:rsid w:val="003936B1"/>
    <w:rsid w:val="003944CF"/>
    <w:rsid w:val="003A1ABD"/>
    <w:rsid w:val="003B1CA3"/>
    <w:rsid w:val="003B44F3"/>
    <w:rsid w:val="003C3338"/>
    <w:rsid w:val="003D0DD2"/>
    <w:rsid w:val="003D544B"/>
    <w:rsid w:val="003D7001"/>
    <w:rsid w:val="003E6247"/>
    <w:rsid w:val="003F4297"/>
    <w:rsid w:val="003F5DAE"/>
    <w:rsid w:val="003F5F3D"/>
    <w:rsid w:val="003F7CA2"/>
    <w:rsid w:val="004128EE"/>
    <w:rsid w:val="00427C7D"/>
    <w:rsid w:val="00431CB0"/>
    <w:rsid w:val="0046042C"/>
    <w:rsid w:val="0048106F"/>
    <w:rsid w:val="0048126B"/>
    <w:rsid w:val="004825CE"/>
    <w:rsid w:val="004836A6"/>
    <w:rsid w:val="00492EF4"/>
    <w:rsid w:val="004947C9"/>
    <w:rsid w:val="00495781"/>
    <w:rsid w:val="00497365"/>
    <w:rsid w:val="004A7556"/>
    <w:rsid w:val="004B0BF6"/>
    <w:rsid w:val="004C1EDF"/>
    <w:rsid w:val="004C49F3"/>
    <w:rsid w:val="004C6B2D"/>
    <w:rsid w:val="0050103C"/>
    <w:rsid w:val="005041C6"/>
    <w:rsid w:val="00504C8B"/>
    <w:rsid w:val="00506EF6"/>
    <w:rsid w:val="005153AC"/>
    <w:rsid w:val="005160AB"/>
    <w:rsid w:val="00523CD9"/>
    <w:rsid w:val="00524B92"/>
    <w:rsid w:val="00540C55"/>
    <w:rsid w:val="00551881"/>
    <w:rsid w:val="005528F6"/>
    <w:rsid w:val="0058578F"/>
    <w:rsid w:val="00586A35"/>
    <w:rsid w:val="005927BE"/>
    <w:rsid w:val="00596082"/>
    <w:rsid w:val="00596F2A"/>
    <w:rsid w:val="005B2ED3"/>
    <w:rsid w:val="005B493F"/>
    <w:rsid w:val="005C0062"/>
    <w:rsid w:val="005C3D72"/>
    <w:rsid w:val="005C5E36"/>
    <w:rsid w:val="005D0695"/>
    <w:rsid w:val="005D0CCE"/>
    <w:rsid w:val="005D7E6E"/>
    <w:rsid w:val="005E22A3"/>
    <w:rsid w:val="005F30FF"/>
    <w:rsid w:val="00607A60"/>
    <w:rsid w:val="0061273A"/>
    <w:rsid w:val="00612C56"/>
    <w:rsid w:val="00612E4E"/>
    <w:rsid w:val="006317A6"/>
    <w:rsid w:val="0063608B"/>
    <w:rsid w:val="00644AC8"/>
    <w:rsid w:val="00650463"/>
    <w:rsid w:val="006514CD"/>
    <w:rsid w:val="0065275A"/>
    <w:rsid w:val="00654D92"/>
    <w:rsid w:val="00660A05"/>
    <w:rsid w:val="00670649"/>
    <w:rsid w:val="00672ABE"/>
    <w:rsid w:val="00675128"/>
    <w:rsid w:val="0069472B"/>
    <w:rsid w:val="00694749"/>
    <w:rsid w:val="006978B2"/>
    <w:rsid w:val="006A22F6"/>
    <w:rsid w:val="006A29E8"/>
    <w:rsid w:val="006B4623"/>
    <w:rsid w:val="006C4BE3"/>
    <w:rsid w:val="006D0E9B"/>
    <w:rsid w:val="006D2239"/>
    <w:rsid w:val="006E0D12"/>
    <w:rsid w:val="006E4407"/>
    <w:rsid w:val="006E7653"/>
    <w:rsid w:val="006F050A"/>
    <w:rsid w:val="006F1681"/>
    <w:rsid w:val="00701FA6"/>
    <w:rsid w:val="0070306F"/>
    <w:rsid w:val="0070473B"/>
    <w:rsid w:val="0070531E"/>
    <w:rsid w:val="00717FB2"/>
    <w:rsid w:val="007249CB"/>
    <w:rsid w:val="00727914"/>
    <w:rsid w:val="00727EBD"/>
    <w:rsid w:val="00732243"/>
    <w:rsid w:val="00732D22"/>
    <w:rsid w:val="00743328"/>
    <w:rsid w:val="007451FF"/>
    <w:rsid w:val="00745373"/>
    <w:rsid w:val="00747E69"/>
    <w:rsid w:val="00751EC1"/>
    <w:rsid w:val="00752225"/>
    <w:rsid w:val="00753548"/>
    <w:rsid w:val="00764059"/>
    <w:rsid w:val="007647B0"/>
    <w:rsid w:val="00765265"/>
    <w:rsid w:val="007800CE"/>
    <w:rsid w:val="00780227"/>
    <w:rsid w:val="00793451"/>
    <w:rsid w:val="00793808"/>
    <w:rsid w:val="0079682F"/>
    <w:rsid w:val="00797D60"/>
    <w:rsid w:val="007A3F4E"/>
    <w:rsid w:val="007A481F"/>
    <w:rsid w:val="007A502C"/>
    <w:rsid w:val="007A579F"/>
    <w:rsid w:val="007C57E7"/>
    <w:rsid w:val="007D3C28"/>
    <w:rsid w:val="007E0B4F"/>
    <w:rsid w:val="007E7648"/>
    <w:rsid w:val="007F2D1D"/>
    <w:rsid w:val="00802E06"/>
    <w:rsid w:val="008051C3"/>
    <w:rsid w:val="00810CE2"/>
    <w:rsid w:val="008150D4"/>
    <w:rsid w:val="00824131"/>
    <w:rsid w:val="008313F7"/>
    <w:rsid w:val="0083735E"/>
    <w:rsid w:val="00837CBF"/>
    <w:rsid w:val="00843705"/>
    <w:rsid w:val="00847A31"/>
    <w:rsid w:val="00850D0C"/>
    <w:rsid w:val="0085553A"/>
    <w:rsid w:val="00871E83"/>
    <w:rsid w:val="0089066F"/>
    <w:rsid w:val="00891A1D"/>
    <w:rsid w:val="008949E1"/>
    <w:rsid w:val="008A665A"/>
    <w:rsid w:val="008B1EFD"/>
    <w:rsid w:val="008B710D"/>
    <w:rsid w:val="008C6E83"/>
    <w:rsid w:val="008C72C9"/>
    <w:rsid w:val="008D4A83"/>
    <w:rsid w:val="008F6FB8"/>
    <w:rsid w:val="009010B7"/>
    <w:rsid w:val="009073E1"/>
    <w:rsid w:val="0092209C"/>
    <w:rsid w:val="00922D48"/>
    <w:rsid w:val="009268B7"/>
    <w:rsid w:val="00926E45"/>
    <w:rsid w:val="00931F2B"/>
    <w:rsid w:val="00932662"/>
    <w:rsid w:val="00934FE1"/>
    <w:rsid w:val="00936367"/>
    <w:rsid w:val="00936F8D"/>
    <w:rsid w:val="0095071A"/>
    <w:rsid w:val="00955704"/>
    <w:rsid w:val="00962503"/>
    <w:rsid w:val="00966299"/>
    <w:rsid w:val="009668DE"/>
    <w:rsid w:val="00976413"/>
    <w:rsid w:val="00982C4C"/>
    <w:rsid w:val="00986039"/>
    <w:rsid w:val="009923C7"/>
    <w:rsid w:val="009978A7"/>
    <w:rsid w:val="009B00DC"/>
    <w:rsid w:val="009B7559"/>
    <w:rsid w:val="009D3C3B"/>
    <w:rsid w:val="009D46EA"/>
    <w:rsid w:val="009E56C5"/>
    <w:rsid w:val="009F2833"/>
    <w:rsid w:val="00A012F5"/>
    <w:rsid w:val="00A12291"/>
    <w:rsid w:val="00A15152"/>
    <w:rsid w:val="00A155F9"/>
    <w:rsid w:val="00A164B7"/>
    <w:rsid w:val="00A21DEF"/>
    <w:rsid w:val="00A319FD"/>
    <w:rsid w:val="00A462C6"/>
    <w:rsid w:val="00A55023"/>
    <w:rsid w:val="00A739CB"/>
    <w:rsid w:val="00A75047"/>
    <w:rsid w:val="00A8507F"/>
    <w:rsid w:val="00A91E16"/>
    <w:rsid w:val="00A95518"/>
    <w:rsid w:val="00AA10C4"/>
    <w:rsid w:val="00AA57D8"/>
    <w:rsid w:val="00AA5BF1"/>
    <w:rsid w:val="00AA6E2B"/>
    <w:rsid w:val="00AB0733"/>
    <w:rsid w:val="00AB21AA"/>
    <w:rsid w:val="00AB2327"/>
    <w:rsid w:val="00AC4630"/>
    <w:rsid w:val="00AD0294"/>
    <w:rsid w:val="00AE1E64"/>
    <w:rsid w:val="00B13E4F"/>
    <w:rsid w:val="00B14E51"/>
    <w:rsid w:val="00B15A21"/>
    <w:rsid w:val="00B1638F"/>
    <w:rsid w:val="00B25737"/>
    <w:rsid w:val="00B33269"/>
    <w:rsid w:val="00B350C9"/>
    <w:rsid w:val="00B3715C"/>
    <w:rsid w:val="00B4052C"/>
    <w:rsid w:val="00B41CB4"/>
    <w:rsid w:val="00B43D73"/>
    <w:rsid w:val="00B46551"/>
    <w:rsid w:val="00B51DB5"/>
    <w:rsid w:val="00B61445"/>
    <w:rsid w:val="00B61DDD"/>
    <w:rsid w:val="00B64DD4"/>
    <w:rsid w:val="00B64F13"/>
    <w:rsid w:val="00B73DEA"/>
    <w:rsid w:val="00BA00DF"/>
    <w:rsid w:val="00BA5432"/>
    <w:rsid w:val="00BA7DD8"/>
    <w:rsid w:val="00BB333E"/>
    <w:rsid w:val="00BC5BDA"/>
    <w:rsid w:val="00BD304D"/>
    <w:rsid w:val="00BD61E5"/>
    <w:rsid w:val="00BD793B"/>
    <w:rsid w:val="00BE7F58"/>
    <w:rsid w:val="00BF3D6B"/>
    <w:rsid w:val="00C03DCA"/>
    <w:rsid w:val="00C06212"/>
    <w:rsid w:val="00C1142C"/>
    <w:rsid w:val="00C14A4F"/>
    <w:rsid w:val="00C32613"/>
    <w:rsid w:val="00C41AE1"/>
    <w:rsid w:val="00C4538D"/>
    <w:rsid w:val="00C461FF"/>
    <w:rsid w:val="00C50274"/>
    <w:rsid w:val="00C5423E"/>
    <w:rsid w:val="00C72FAB"/>
    <w:rsid w:val="00C822AF"/>
    <w:rsid w:val="00C90428"/>
    <w:rsid w:val="00C9472A"/>
    <w:rsid w:val="00C95C6E"/>
    <w:rsid w:val="00C96C07"/>
    <w:rsid w:val="00CA17C5"/>
    <w:rsid w:val="00CB6709"/>
    <w:rsid w:val="00CC2FE0"/>
    <w:rsid w:val="00CD4663"/>
    <w:rsid w:val="00CE752A"/>
    <w:rsid w:val="00CF2B1E"/>
    <w:rsid w:val="00CF39D4"/>
    <w:rsid w:val="00D04103"/>
    <w:rsid w:val="00D24AA4"/>
    <w:rsid w:val="00D31EBA"/>
    <w:rsid w:val="00D341FA"/>
    <w:rsid w:val="00D34435"/>
    <w:rsid w:val="00D47BCC"/>
    <w:rsid w:val="00D658B3"/>
    <w:rsid w:val="00D70EDE"/>
    <w:rsid w:val="00D9290D"/>
    <w:rsid w:val="00DA46C7"/>
    <w:rsid w:val="00DC112E"/>
    <w:rsid w:val="00DC1C49"/>
    <w:rsid w:val="00DC4B20"/>
    <w:rsid w:val="00DC4FC9"/>
    <w:rsid w:val="00DD476E"/>
    <w:rsid w:val="00DD5335"/>
    <w:rsid w:val="00DF0E97"/>
    <w:rsid w:val="00DF15B7"/>
    <w:rsid w:val="00E016B0"/>
    <w:rsid w:val="00E04496"/>
    <w:rsid w:val="00E13CDC"/>
    <w:rsid w:val="00E2212F"/>
    <w:rsid w:val="00E238F9"/>
    <w:rsid w:val="00E251D2"/>
    <w:rsid w:val="00E270D5"/>
    <w:rsid w:val="00E27659"/>
    <w:rsid w:val="00E320C3"/>
    <w:rsid w:val="00E36BC9"/>
    <w:rsid w:val="00E51B27"/>
    <w:rsid w:val="00E71D5C"/>
    <w:rsid w:val="00E83192"/>
    <w:rsid w:val="00E834D5"/>
    <w:rsid w:val="00E87E12"/>
    <w:rsid w:val="00E943FF"/>
    <w:rsid w:val="00EA18AE"/>
    <w:rsid w:val="00EA33FF"/>
    <w:rsid w:val="00EB0977"/>
    <w:rsid w:val="00EB13C5"/>
    <w:rsid w:val="00EB2E12"/>
    <w:rsid w:val="00EB3F7D"/>
    <w:rsid w:val="00EB49FA"/>
    <w:rsid w:val="00EB5854"/>
    <w:rsid w:val="00EC4D39"/>
    <w:rsid w:val="00EC5E10"/>
    <w:rsid w:val="00EF03F0"/>
    <w:rsid w:val="00F06E88"/>
    <w:rsid w:val="00F07F37"/>
    <w:rsid w:val="00F13DDE"/>
    <w:rsid w:val="00F2664D"/>
    <w:rsid w:val="00F30418"/>
    <w:rsid w:val="00F3215E"/>
    <w:rsid w:val="00F3231F"/>
    <w:rsid w:val="00F36726"/>
    <w:rsid w:val="00F41CC2"/>
    <w:rsid w:val="00F52D73"/>
    <w:rsid w:val="00F65834"/>
    <w:rsid w:val="00F66B6F"/>
    <w:rsid w:val="00F74DA3"/>
    <w:rsid w:val="00F91DFA"/>
    <w:rsid w:val="00F95288"/>
    <w:rsid w:val="00F9791B"/>
    <w:rsid w:val="00FA313D"/>
    <w:rsid w:val="00FB2AFC"/>
    <w:rsid w:val="00FB7A39"/>
    <w:rsid w:val="00FC0E1D"/>
    <w:rsid w:val="00FC53DA"/>
    <w:rsid w:val="00FD16A9"/>
    <w:rsid w:val="00FE4758"/>
    <w:rsid w:val="00FF004E"/>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D24C8D7"/>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uiPriority w:val="39"/>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524B92"/>
    <w:pPr>
      <w:spacing w:line="264" w:lineRule="auto"/>
      <w:jc w:val="both"/>
    </w:pPr>
    <w:rPr>
      <w:rFonts w:ascii="Linux Libertine" w:eastAsiaTheme="minorHAnsi" w:hAnsi="Linux Libertine" w:cstheme="minorBidi"/>
      <w:sz w:val="18"/>
      <w:szCs w:val="22"/>
      <w:lang w:val="en-US" w:eastAsia="en-US"/>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pPr>
  </w:style>
  <w:style w:type="paragraph" w:customStyle="1" w:styleId="PullQuote">
    <w:name w:val="PullQuote"/>
    <w:basedOn w:val="Para"/>
    <w:qFormat/>
    <w:rsid w:val="00586A35"/>
    <w:pPr>
      <w:shd w:val="clear" w:color="auto" w:fill="EAF1DD" w:themeFill="accent3" w:themeFillTint="33"/>
      <w:ind w:left="1134" w:right="1134"/>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 w:type="character" w:styleId="UnresolvedMention">
    <w:name w:val="Unresolved Mention"/>
    <w:basedOn w:val="DefaultParagraphFont"/>
    <w:uiPriority w:val="99"/>
    <w:semiHidden/>
    <w:unhideWhenUsed/>
    <w:rsid w:val="00672A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1145/1234567890" TargetMode="External"/><Relationship Id="rId18" Type="http://schemas.openxmlformats.org/officeDocument/2006/relationships/image" Target="media/image5.tiff"/><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4.tiff"/><Relationship Id="rId2" Type="http://schemas.openxmlformats.org/officeDocument/2006/relationships/customXml" Target="../customXml/item2.xml"/><Relationship Id="rId16" Type="http://schemas.openxmlformats.org/officeDocument/2006/relationships/image" Target="media/image3.tif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2.tif"/><Relationship Id="rId10" Type="http://schemas.openxmlformats.org/officeDocument/2006/relationships/header" Target="header2.xml"/><Relationship Id="rId19" Type="http://schemas.openxmlformats.org/officeDocument/2006/relationships/hyperlink" Target="https://doi.org/"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tiff"/></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Props1.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customXml/itemProps2.xml><?xml version="1.0" encoding="utf-8"?>
<ds:datastoreItem xmlns:ds="http://schemas.openxmlformats.org/officeDocument/2006/customXml" ds:itemID="{4D45DBA2-DCF6-46BF-858B-9A8CC8161B4D}">
  <ds:schemaRefs/>
</ds:datastoreItem>
</file>

<file path=docProps/app.xml><?xml version="1.0" encoding="utf-8"?>
<Properties xmlns="http://schemas.openxmlformats.org/officeDocument/2006/extended-properties" xmlns:vt="http://schemas.openxmlformats.org/officeDocument/2006/docPropsVTypes">
  <Template>ACM.dotm</Template>
  <TotalTime>47</TotalTime>
  <Pages>6</Pages>
  <Words>4591</Words>
  <Characters>26174</Characters>
  <Application>Microsoft Office Word</Application>
  <DocSecurity>0</DocSecurity>
  <Lines>218</Lines>
  <Paragraphs>61</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30704</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Kaloyan Zdravkov</cp:lastModifiedBy>
  <cp:revision>4</cp:revision>
  <cp:lastPrinted>2018-05-22T11:24:00Z</cp:lastPrinted>
  <dcterms:created xsi:type="dcterms:W3CDTF">2019-10-29T19:38:00Z</dcterms:created>
  <dcterms:modified xsi:type="dcterms:W3CDTF">2025-06-29T07:40:00Z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