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90917" w14:textId="77777777" w:rsidR="00EB4011" w:rsidRPr="00A64954" w:rsidRDefault="00EB4011" w:rsidP="00EB4011">
      <w:pPr>
        <w:rPr>
          <w:rFonts w:ascii="Times New Roman" w:hAnsi="Times New Roman" w:cs="Times New Roman"/>
          <w:b/>
          <w:bCs/>
        </w:rPr>
      </w:pPr>
      <w:commentRangeStart w:id="0"/>
      <w:r w:rsidRPr="00A64954">
        <w:rPr>
          <w:rFonts w:ascii="Times New Roman" w:hAnsi="Times New Roman" w:cs="Times New Roman"/>
          <w:b/>
          <w:bCs/>
        </w:rPr>
        <w:t xml:space="preserve">Method and Design </w:t>
      </w:r>
      <w:commentRangeEnd w:id="0"/>
      <w:r w:rsidRPr="00A64954">
        <w:rPr>
          <w:rStyle w:val="CommentReference"/>
          <w:rFonts w:ascii="Times New Roman" w:hAnsi="Times New Roman" w:cs="Times New Roman"/>
          <w:b/>
          <w:bCs/>
          <w:sz w:val="20"/>
          <w:szCs w:val="20"/>
        </w:rPr>
        <w:commentReference w:id="0"/>
      </w:r>
    </w:p>
    <w:p w14:paraId="162E80F0" w14:textId="77777777" w:rsidR="00EB4011" w:rsidRPr="00A64954" w:rsidRDefault="00EB4011" w:rsidP="00EB4011">
      <w:pPr>
        <w:rPr>
          <w:rFonts w:ascii="Times New Roman" w:hAnsi="Times New Roman" w:cs="Times New Roman"/>
        </w:rPr>
      </w:pPr>
    </w:p>
    <w:p w14:paraId="111538E7" w14:textId="77777777" w:rsidR="00EB4011" w:rsidRPr="00A64954" w:rsidRDefault="00EB4011" w:rsidP="00EB4011">
      <w:pPr>
        <w:rPr>
          <w:rFonts w:ascii="Times New Roman" w:hAnsi="Times New Roman" w:cs="Times New Roman"/>
        </w:rPr>
      </w:pPr>
      <w:r w:rsidRPr="00A64954">
        <w:rPr>
          <w:rFonts w:ascii="Times New Roman" w:hAnsi="Times New Roman" w:cs="Times New Roman"/>
        </w:rPr>
        <w:t>The experiment employed a within-subjects design with two factors: gaze congruency and action consistency. The procedure consisted of three phases: a practice phase, the main experimental phase, and a questionnaire phase. The practice phase was identical to the main experimental phase and served to familiarize participants with the task.</w:t>
      </w:r>
    </w:p>
    <w:p w14:paraId="7634B4DB" w14:textId="77777777" w:rsidR="00EB4011" w:rsidRPr="00A64954" w:rsidRDefault="00EB4011" w:rsidP="00EB4011">
      <w:pPr>
        <w:rPr>
          <w:rFonts w:ascii="Times New Roman" w:hAnsi="Times New Roman" w:cs="Times New Roman"/>
        </w:rPr>
      </w:pPr>
      <w:r w:rsidRPr="00A64954">
        <w:rPr>
          <w:rFonts w:ascii="Times New Roman" w:hAnsi="Times New Roman" w:cs="Times New Roman"/>
        </w:rPr>
        <w:t>During both the practice and experimental phases, the independent variables were manipulated as follows. The gaze congruency factor had two levels: congruent, when the gaze was oriented toward the target position, and incongruent, when the gaze was oriented in the opposite direction. Action consistency referred to the relationship between the participant’s intended action direction and the actual direction of gaze—that is, whether the gaze followed the direction chosen by the participant. This factor comprised three levels: control, for trials in which no directional choice was required; consistent, when the gaze was aligned with the participant’s chosen direction; and inconsistent, when the gaze was oriented opposite to the participant’s chosen direction.</w:t>
      </w:r>
    </w:p>
    <w:p w14:paraId="5F0B2593" w14:textId="77777777" w:rsidR="00EB4011" w:rsidRPr="00A64954" w:rsidRDefault="00EB4011" w:rsidP="00EB4011">
      <w:pPr>
        <w:rPr>
          <w:rFonts w:ascii="Times New Roman" w:hAnsi="Times New Roman" w:cs="Times New Roman"/>
        </w:rPr>
      </w:pPr>
      <w:r w:rsidRPr="00A64954">
        <w:rPr>
          <w:rFonts w:ascii="Times New Roman" w:hAnsi="Times New Roman" w:cs="Times New Roman"/>
        </w:rPr>
        <w:t>As a final part of the procedure, explicit sense of agency was assessed using self-report questions. Participants were asked to indicate the extent to which they felt they controlled, caused, or predicted the gaze movements. (The exact questions are reported below in Bulgarian and English.)</w:t>
      </w:r>
    </w:p>
    <w:p w14:paraId="49AD6785" w14:textId="77777777" w:rsidR="00EB4011" w:rsidRPr="00A64954" w:rsidRDefault="00EB4011" w:rsidP="00EB4011">
      <w:pPr>
        <w:rPr>
          <w:rFonts w:ascii="Times New Roman" w:hAnsi="Times New Roman" w:cs="Times New Roman"/>
        </w:rPr>
      </w:pPr>
    </w:p>
    <w:p w14:paraId="1C694178" w14:textId="77777777" w:rsidR="00EB4011" w:rsidRPr="00A64954" w:rsidRDefault="00EB4011" w:rsidP="00EB4011">
      <w:pPr>
        <w:rPr>
          <w:rFonts w:ascii="Times New Roman" w:hAnsi="Times New Roman" w:cs="Times New Roman"/>
        </w:rPr>
      </w:pPr>
    </w:p>
    <w:p w14:paraId="0D015E81" w14:textId="77777777" w:rsidR="00EB4011" w:rsidRDefault="00EB4011" w:rsidP="00EB4011">
      <w:pPr>
        <w:rPr>
          <w:rFonts w:ascii="Times New Roman" w:hAnsi="Times New Roman" w:cs="Times New Roman"/>
          <w:b/>
          <w:bCs/>
        </w:rPr>
      </w:pPr>
      <w:r w:rsidRPr="00A64954">
        <w:rPr>
          <w:rFonts w:ascii="Times New Roman" w:hAnsi="Times New Roman" w:cs="Times New Roman"/>
          <w:b/>
          <w:bCs/>
        </w:rPr>
        <w:t>Procedure</w:t>
      </w:r>
    </w:p>
    <w:p w14:paraId="08934067" w14:textId="77777777" w:rsidR="00EB4011" w:rsidRPr="00A64954" w:rsidRDefault="00EB4011" w:rsidP="00EB4011">
      <w:pPr>
        <w:rPr>
          <w:rFonts w:ascii="Times New Roman" w:hAnsi="Times New Roman" w:cs="Times New Roman"/>
          <w:b/>
          <w:bCs/>
        </w:rPr>
      </w:pPr>
    </w:p>
    <w:p w14:paraId="141A521D" w14:textId="77777777" w:rsidR="00EB4011" w:rsidRDefault="00EB4011" w:rsidP="00EB4011">
      <w:pPr>
        <w:rPr>
          <w:rFonts w:ascii="Times New Roman" w:hAnsi="Times New Roman" w:cs="Times New Roman"/>
        </w:rPr>
      </w:pPr>
      <w:r w:rsidRPr="00A64954">
        <w:rPr>
          <w:rFonts w:ascii="Times New Roman" w:hAnsi="Times New Roman" w:cs="Times New Roman"/>
        </w:rPr>
        <w:t>Participants were first informed about the experimental instructions. The experiment began with a practice phase equivalent to the main experimental procedure. Given the complexity of the design, the practice phase was included to ensure that participants fully understood the task requirements. The practice phase consisted of 20 trials, and data from these trials were not included in the analyses.</w:t>
      </w:r>
    </w:p>
    <w:p w14:paraId="50CCD9D5" w14:textId="77777777" w:rsidR="00EB4011" w:rsidRPr="00A64954" w:rsidRDefault="00EB4011" w:rsidP="00EB4011">
      <w:pPr>
        <w:rPr>
          <w:rFonts w:ascii="Times New Roman" w:hAnsi="Times New Roman" w:cs="Times New Roman"/>
        </w:rPr>
      </w:pPr>
    </w:p>
    <w:p w14:paraId="5DCD9C2A" w14:textId="77777777" w:rsidR="00EB4011" w:rsidRPr="00A64954" w:rsidRDefault="00EB4011" w:rsidP="00EB4011">
      <w:pPr>
        <w:rPr>
          <w:rFonts w:ascii="Times New Roman" w:hAnsi="Times New Roman" w:cs="Times New Roman"/>
        </w:rPr>
      </w:pPr>
      <w:r w:rsidRPr="00A64954">
        <w:rPr>
          <w:rFonts w:ascii="Times New Roman" w:hAnsi="Times New Roman" w:cs="Times New Roman"/>
        </w:rPr>
        <w:t>Following the practice phase, the instructions were presented again, after which participants completed the main experimental phase. In this phase, participants performed two consecutive tasks within each trial.</w:t>
      </w:r>
    </w:p>
    <w:p w14:paraId="33ECE4A7" w14:textId="77777777" w:rsidR="00EB4011" w:rsidRDefault="00EB4011" w:rsidP="00EB4011">
      <w:pPr>
        <w:rPr>
          <w:rFonts w:ascii="Times New Roman" w:hAnsi="Times New Roman" w:cs="Times New Roman"/>
        </w:rPr>
      </w:pPr>
      <w:r w:rsidRPr="00A64954">
        <w:rPr>
          <w:rFonts w:ascii="Times New Roman" w:hAnsi="Times New Roman" w:cs="Times New Roman"/>
        </w:rPr>
        <w:t>First, to induce a sense of agency, participants were asked to select the direction of the upcoming gaze movement before it occurred. They indicated their intended direction by pressing a keyboard button corresponding to left or right (6 = right and 4 = left; in the counterbalanced version, d = right and a = left). In two-thirds of the trials (referred to as active trials), participants actively selected the gaze direction by pressing a button. In half of these trials, the gaze direction matched the participant’s choice (consistent trials), whereas in the other half it moved in the opposite direction (inconsistent trials). In the remaining one-third of the trials (control trials), no directional choice was required and no button was pressed; gaze direction in these trials was randomly determined, with equal probability of moving left or right.</w:t>
      </w:r>
    </w:p>
    <w:p w14:paraId="220CBC01" w14:textId="77777777" w:rsidR="00EB4011" w:rsidRPr="00A64954" w:rsidRDefault="00EB4011" w:rsidP="00EB4011">
      <w:pPr>
        <w:rPr>
          <w:rFonts w:ascii="Times New Roman" w:hAnsi="Times New Roman" w:cs="Times New Roman"/>
        </w:rPr>
      </w:pPr>
    </w:p>
    <w:p w14:paraId="5D9523F7" w14:textId="77777777" w:rsidR="00EB4011" w:rsidRDefault="00EB4011" w:rsidP="00EB4011">
      <w:pPr>
        <w:rPr>
          <w:rFonts w:ascii="Times New Roman" w:hAnsi="Times New Roman" w:cs="Times New Roman"/>
        </w:rPr>
      </w:pPr>
      <w:r w:rsidRPr="00A64954">
        <w:rPr>
          <w:rFonts w:ascii="Times New Roman" w:hAnsi="Times New Roman" w:cs="Times New Roman"/>
        </w:rPr>
        <w:t>The gaze-direction task was followed by a modified version of the standard gaze-cueing paradigm (cite). In the standard paradigm, a face is presented at the center of the screen and shifts its gaze to the left or right, after which a target appears on one side of the screen. In the present experiment, a centrally presented face was accompanied by two rectangles positioned on either side. After the gaze movement ended, one of the rectangles (the target) changed color to either green or blue. Participants were instructed to perform a color discrimination task by pressing the corresponding response button (a or d; in the counterbalanced version, 4 or 6). Both the stimulus–response mapping and the task-button mapping were counterbalanced across participants.</w:t>
      </w:r>
    </w:p>
    <w:p w14:paraId="3D919E03" w14:textId="77777777" w:rsidR="00EB4011" w:rsidRPr="00A64954" w:rsidRDefault="00EB4011" w:rsidP="00EB4011">
      <w:pPr>
        <w:rPr>
          <w:rFonts w:ascii="Times New Roman" w:hAnsi="Times New Roman" w:cs="Times New Roman"/>
        </w:rPr>
      </w:pPr>
    </w:p>
    <w:p w14:paraId="1667A66B" w14:textId="77777777" w:rsidR="00EB4011" w:rsidRPr="00A64954" w:rsidRDefault="00EB4011" w:rsidP="00EB4011">
      <w:pPr>
        <w:rPr>
          <w:rFonts w:ascii="Times New Roman" w:hAnsi="Times New Roman" w:cs="Times New Roman"/>
        </w:rPr>
      </w:pPr>
      <w:r w:rsidRPr="00A64954">
        <w:rPr>
          <w:rFonts w:ascii="Times New Roman" w:hAnsi="Times New Roman" w:cs="Times New Roman"/>
        </w:rPr>
        <w:t>Each trial proceeded as follows:</w:t>
      </w:r>
    </w:p>
    <w:p w14:paraId="21681BBB" w14:textId="77777777" w:rsidR="00EB4011" w:rsidRPr="00A64954" w:rsidRDefault="00EB4011" w:rsidP="00EB4011">
      <w:pPr>
        <w:ind w:firstLine="567"/>
        <w:rPr>
          <w:rFonts w:ascii="Times New Roman" w:hAnsi="Times New Roman" w:cs="Times New Roman"/>
        </w:rPr>
      </w:pPr>
      <w:r w:rsidRPr="00A64954">
        <w:rPr>
          <w:rFonts w:ascii="Times New Roman" w:hAnsi="Times New Roman" w:cs="Times New Roman"/>
        </w:rPr>
        <w:t>1.</w:t>
      </w:r>
      <w:r w:rsidRPr="00A64954">
        <w:rPr>
          <w:rFonts w:ascii="Times New Roman" w:hAnsi="Times New Roman" w:cs="Times New Roman"/>
        </w:rPr>
        <w:tab/>
        <w:t>A fixation cross appeared at the center of the screen for 1 s. A red cross signaled a control trial (no action required), whereas a green cross indicated an active trial, in which the participant was required to press a button to select the gaze direction.</w:t>
      </w:r>
    </w:p>
    <w:p w14:paraId="31FCAC00" w14:textId="77777777" w:rsidR="00EB4011" w:rsidRPr="00A64954" w:rsidRDefault="00EB4011" w:rsidP="00EB4011">
      <w:pPr>
        <w:ind w:firstLine="567"/>
        <w:rPr>
          <w:rFonts w:ascii="Times New Roman" w:hAnsi="Times New Roman" w:cs="Times New Roman"/>
        </w:rPr>
      </w:pPr>
      <w:r w:rsidRPr="00A64954">
        <w:rPr>
          <w:rFonts w:ascii="Times New Roman" w:hAnsi="Times New Roman" w:cs="Times New Roman"/>
        </w:rPr>
        <w:t>2.</w:t>
      </w:r>
      <w:r w:rsidRPr="00A64954">
        <w:rPr>
          <w:rFonts w:ascii="Times New Roman" w:hAnsi="Times New Roman" w:cs="Times New Roman"/>
        </w:rPr>
        <w:tab/>
        <w:t>The face was then presented looking straight ahead. In control trials, the face remained on screen for a random duration between 350 and 550 ms. In active trials, the face remained until the participant pressed a directional button.</w:t>
      </w:r>
    </w:p>
    <w:p w14:paraId="455F5863" w14:textId="77777777" w:rsidR="00EB4011" w:rsidRPr="00A64954" w:rsidRDefault="00EB4011" w:rsidP="00EB4011">
      <w:pPr>
        <w:ind w:firstLine="567"/>
        <w:rPr>
          <w:rFonts w:ascii="Times New Roman" w:hAnsi="Times New Roman" w:cs="Times New Roman"/>
        </w:rPr>
      </w:pPr>
      <w:r w:rsidRPr="00A64954">
        <w:rPr>
          <w:rFonts w:ascii="Times New Roman" w:hAnsi="Times New Roman" w:cs="Times New Roman"/>
        </w:rPr>
        <w:t>3.</w:t>
      </w:r>
      <w:r w:rsidRPr="00A64954">
        <w:rPr>
          <w:rFonts w:ascii="Times New Roman" w:hAnsi="Times New Roman" w:cs="Times New Roman"/>
        </w:rPr>
        <w:tab/>
        <w:t>The gaze movement then began and lasted 210 ms, consisting of seven successive frames with slight pupil shifts (each presented for 30 ms) to create a smooth and continuous gaze movement. The gaze could be either congruent or incongruent with the target location.</w:t>
      </w:r>
    </w:p>
    <w:p w14:paraId="75CEA661" w14:textId="77777777" w:rsidR="00EB4011" w:rsidRPr="00A64954" w:rsidRDefault="00EB4011" w:rsidP="00EB4011">
      <w:pPr>
        <w:ind w:firstLine="567"/>
        <w:rPr>
          <w:rFonts w:ascii="Times New Roman" w:hAnsi="Times New Roman" w:cs="Times New Roman"/>
        </w:rPr>
      </w:pPr>
      <w:r w:rsidRPr="00A64954">
        <w:rPr>
          <w:rFonts w:ascii="Times New Roman" w:hAnsi="Times New Roman" w:cs="Times New Roman"/>
        </w:rPr>
        <w:t>4.</w:t>
      </w:r>
      <w:r w:rsidRPr="00A64954">
        <w:rPr>
          <w:rFonts w:ascii="Times New Roman" w:hAnsi="Times New Roman" w:cs="Times New Roman"/>
        </w:rPr>
        <w:tab/>
        <w:t>Immediately after the gaze movement ended, the target appeared: one of the two rectangles changed color to green or blue. The target remained on screen for up to 3 s or until a response was made. If no response was given within this interval, the fixation cross reappeared and the next trial began.</w:t>
      </w:r>
    </w:p>
    <w:p w14:paraId="13D1BDF8" w14:textId="77777777" w:rsidR="00EB4011" w:rsidRDefault="00EB4011" w:rsidP="00EB4011">
      <w:pPr>
        <w:ind w:firstLine="567"/>
        <w:rPr>
          <w:rFonts w:ascii="Times New Roman" w:hAnsi="Times New Roman" w:cs="Times New Roman"/>
        </w:rPr>
      </w:pPr>
      <w:r w:rsidRPr="00A64954">
        <w:rPr>
          <w:rFonts w:ascii="Times New Roman" w:hAnsi="Times New Roman" w:cs="Times New Roman"/>
        </w:rPr>
        <w:lastRenderedPageBreak/>
        <w:t>5.</w:t>
      </w:r>
      <w:r w:rsidRPr="00A64954">
        <w:rPr>
          <w:rFonts w:ascii="Times New Roman" w:hAnsi="Times New Roman" w:cs="Times New Roman"/>
        </w:rPr>
        <w:tab/>
        <w:t>At the end of the trial an inter-trial interval of 1 s was presented.</w:t>
      </w:r>
    </w:p>
    <w:p w14:paraId="707187C4" w14:textId="77777777" w:rsidR="00EB4011" w:rsidRDefault="00EB4011" w:rsidP="00EB4011">
      <w:pPr>
        <w:ind w:firstLine="567"/>
        <w:rPr>
          <w:rFonts w:ascii="Times New Roman" w:hAnsi="Times New Roman" w:cs="Times New Roman"/>
        </w:rPr>
      </w:pPr>
    </w:p>
    <w:p w14:paraId="4E725EA4" w14:textId="77777777" w:rsidR="00EB4011" w:rsidRDefault="00EB4011" w:rsidP="00EB4011">
      <w:pPr>
        <w:rPr>
          <w:rFonts w:ascii="Times New Roman" w:hAnsi="Times New Roman" w:cs="Times New Roman"/>
        </w:rPr>
      </w:pPr>
      <w:r w:rsidRPr="007A072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B711ED3" wp14:editId="4DB8750B">
                <wp:simplePos x="0" y="0"/>
                <wp:positionH relativeFrom="column">
                  <wp:posOffset>478894</wp:posOffset>
                </wp:positionH>
                <wp:positionV relativeFrom="paragraph">
                  <wp:posOffset>3934924</wp:posOffset>
                </wp:positionV>
                <wp:extent cx="4890053" cy="635"/>
                <wp:effectExtent l="0" t="0" r="6350" b="0"/>
                <wp:wrapTopAndBottom/>
                <wp:docPr id="1965569632" name="Text Box 1"/>
                <wp:cNvGraphicFramePr/>
                <a:graphic xmlns:a="http://schemas.openxmlformats.org/drawingml/2006/main">
                  <a:graphicData uri="http://schemas.microsoft.com/office/word/2010/wordprocessingShape">
                    <wps:wsp>
                      <wps:cNvSpPr txBox="1"/>
                      <wps:spPr>
                        <a:xfrm>
                          <a:off x="0" y="0"/>
                          <a:ext cx="4890053" cy="635"/>
                        </a:xfrm>
                        <a:prstGeom prst="rect">
                          <a:avLst/>
                        </a:prstGeom>
                        <a:solidFill>
                          <a:prstClr val="white"/>
                        </a:solidFill>
                        <a:ln>
                          <a:noFill/>
                        </a:ln>
                      </wps:spPr>
                      <wps:txbx>
                        <w:txbxContent>
                          <w:p w14:paraId="5B9A8773" w14:textId="77777777" w:rsidR="00EB4011" w:rsidRPr="0094415F" w:rsidRDefault="00EB4011" w:rsidP="00EB4011">
                            <w:pPr>
                              <w:pStyle w:val="FigureCaption"/>
                              <w:jc w:val="left"/>
                              <w:rPr>
                                <w:sz w:val="16"/>
                                <w:szCs w:val="16"/>
                              </w:rPr>
                            </w:pPr>
                            <w:r w:rsidRPr="0094415F">
                              <w:rPr>
                                <w:sz w:val="16"/>
                                <w:szCs w:val="16"/>
                              </w:rPr>
                              <w:t xml:space="preserve">Figure 1: Trial timeline examples (not to scale). </w:t>
                            </w:r>
                            <w:r w:rsidRPr="0094415F">
                              <w:rPr>
                                <w:sz w:val="16"/>
                                <w:szCs w:val="16"/>
                              </w:rPr>
                              <w:br/>
                            </w:r>
                            <w:r w:rsidRPr="0094415F">
                              <w:rPr>
                                <w:b w:val="0"/>
                                <w:bCs/>
                                <w:sz w:val="16"/>
                                <w:szCs w:val="16"/>
                              </w:rPr>
                              <w:t xml:space="preserve">a) Control condition (passive expectation of face appearance), incongruent gaze cuing; </w:t>
                            </w:r>
                            <w:r w:rsidRPr="0094415F">
                              <w:rPr>
                                <w:b w:val="0"/>
                                <w:bCs/>
                                <w:sz w:val="16"/>
                                <w:szCs w:val="16"/>
                              </w:rPr>
                              <w:br/>
                              <w:t xml:space="preserve">b) and c) participants induce face appearance with a button press, choosing gaze direction, b) – congruent gaze cuing, c) – incongruent gaze cuing. </w:t>
                            </w:r>
                            <w:r w:rsidRPr="0094415F">
                              <w:rPr>
                                <w:b w:val="0"/>
                                <w:bCs/>
                                <w:sz w:val="16"/>
                                <w:szCs w:val="16"/>
                              </w:rPr>
                              <w:br/>
                              <w:t xml:space="preserve">During the response window participants discriminate between colors. </w:t>
                            </w:r>
                            <w:r w:rsidRPr="0094415F">
                              <w:rPr>
                                <w:b w:val="0"/>
                                <w:bCs/>
                                <w:sz w:val="16"/>
                                <w:szCs w:val="16"/>
                              </w:rPr>
                              <w:br/>
                              <w:t>ITI – intertrial interval.</w:t>
                            </w:r>
                          </w:p>
                          <w:p w14:paraId="524B275C" w14:textId="77777777" w:rsidR="00EB4011" w:rsidRPr="0094415F" w:rsidRDefault="00EB4011" w:rsidP="00EB4011">
                            <w:pPr>
                              <w:pStyle w:val="Caption"/>
                              <w:rPr>
                                <w:rFonts w:ascii="Linux Libertine" w:eastAsiaTheme="minorHAnsi" w:hAnsi="Linux Libertine"/>
                                <w:noProof/>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B711ED3" id="_x0000_t202" coordsize="21600,21600" o:spt="202" path="m,l,21600r21600,l21600,xe">
                <v:stroke joinstyle="miter"/>
                <v:path gradientshapeok="t" o:connecttype="rect"/>
              </v:shapetype>
              <v:shape id="Text Box 1" o:spid="_x0000_s1026" type="#_x0000_t202" style="position:absolute;margin-left:37.7pt;margin-top:309.85pt;width:385.05pt;height:.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" stroked="f">
                <v:textbox style="mso-fit-shape-to-text:t" inset="0,0,0,0">
                  <w:txbxContent>
                    <w:p w14:paraId="5B9A8773" w14:textId="77777777" w:rsidR="00EB4011" w:rsidRPr="0094415F" w:rsidRDefault="00EB4011" w:rsidP="00EB4011">
                      <w:pPr>
                        <w:pStyle w:val="FigureCaption"/>
                        <w:jc w:val="left"/>
                        <w:rPr>
                          <w:sz w:val="16"/>
                          <w:szCs w:val="16"/>
                        </w:rPr>
                      </w:pPr>
                      <w:r w:rsidRPr="0094415F">
                        <w:rPr>
                          <w:sz w:val="16"/>
                          <w:szCs w:val="16"/>
                        </w:rPr>
                        <w:t xml:space="preserve">Figure 1: Trial timeline examples (not to scale). </w:t>
                      </w:r>
                      <w:r w:rsidRPr="0094415F">
                        <w:rPr>
                          <w:sz w:val="16"/>
                          <w:szCs w:val="16"/>
                        </w:rPr>
                        <w:br/>
                      </w:r>
                      <w:r w:rsidRPr="0094415F">
                        <w:rPr>
                          <w:b w:val="0"/>
                          <w:bCs/>
                          <w:sz w:val="16"/>
                          <w:szCs w:val="16"/>
                        </w:rPr>
                        <w:t xml:space="preserve">a) Control condition (passive expectation of face appearance), incongruent gaze cuing; </w:t>
                      </w:r>
                      <w:r w:rsidRPr="0094415F">
                        <w:rPr>
                          <w:b w:val="0"/>
                          <w:bCs/>
                          <w:sz w:val="16"/>
                          <w:szCs w:val="16"/>
                        </w:rPr>
                        <w:br/>
                        <w:t xml:space="preserve">b) and c) participants induce face appearance with a button press, choosing gaze direction, b) – congruent gaze cuing, c) – incongruent gaze cuing. </w:t>
                      </w:r>
                      <w:r w:rsidRPr="0094415F">
                        <w:rPr>
                          <w:b w:val="0"/>
                          <w:bCs/>
                          <w:sz w:val="16"/>
                          <w:szCs w:val="16"/>
                        </w:rPr>
                        <w:br/>
                        <w:t xml:space="preserve">During the response window participants discriminate between colors. </w:t>
                      </w:r>
                      <w:r w:rsidRPr="0094415F">
                        <w:rPr>
                          <w:b w:val="0"/>
                          <w:bCs/>
                          <w:sz w:val="16"/>
                          <w:szCs w:val="16"/>
                        </w:rPr>
                        <w:br/>
                        <w:t>ITI – intertrial interval.</w:t>
                      </w:r>
                    </w:p>
                    <w:p w14:paraId="524B275C" w14:textId="77777777" w:rsidR="00EB4011" w:rsidRPr="0094415F" w:rsidRDefault="00EB4011" w:rsidP="00EB4011">
                      <w:pPr>
                        <w:pStyle w:val="Caption"/>
                        <w:rPr>
                          <w:rFonts w:ascii="Linux Libertine" w:eastAsiaTheme="minorHAnsi" w:hAnsi="Linux Libertine"/>
                          <w:noProof/>
                          <w:sz w:val="16"/>
                          <w:szCs w:val="16"/>
                          <w:lang w:val="en-US"/>
                        </w:rPr>
                      </w:pPr>
                    </w:p>
                  </w:txbxContent>
                </v:textbox>
                <w10:wrap type="topAndBottom"/>
              </v:shape>
            </w:pict>
          </mc:Fallback>
        </mc:AlternateContent>
      </w:r>
      <w:r w:rsidRPr="007A0726">
        <w:rPr>
          <w:rFonts w:ascii="Times New Roman" w:hAnsi="Times New Roman" w:cs="Times New Roman"/>
          <w:noProof/>
        </w:rPr>
        <w:drawing>
          <wp:inline distT="0" distB="0" distL="0" distR="0" wp14:anchorId="386F1285" wp14:editId="182644E5">
            <wp:extent cx="5793475" cy="3860546"/>
            <wp:effectExtent l="0" t="0" r="0" b="6985"/>
            <wp:docPr id="109713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15032" cy="3874910"/>
                    </a:xfrm>
                    <a:prstGeom prst="rect">
                      <a:avLst/>
                    </a:prstGeom>
                    <a:noFill/>
                    <a:ln>
                      <a:noFill/>
                    </a:ln>
                  </pic:spPr>
                </pic:pic>
              </a:graphicData>
            </a:graphic>
          </wp:inline>
        </w:drawing>
      </w:r>
    </w:p>
    <w:p w14:paraId="14A59DE9" w14:textId="77777777" w:rsidR="00EB4011" w:rsidRDefault="00EB4011" w:rsidP="00EB4011">
      <w:pPr>
        <w:rPr>
          <w:rFonts w:ascii="Times New Roman" w:hAnsi="Times New Roman" w:cs="Times New Roman"/>
        </w:rPr>
      </w:pPr>
    </w:p>
    <w:p w14:paraId="30A7AF70" w14:textId="77777777" w:rsidR="00EB4011" w:rsidRPr="00A64954" w:rsidRDefault="00EB4011" w:rsidP="00EB4011">
      <w:pPr>
        <w:ind w:firstLine="567"/>
        <w:rPr>
          <w:rFonts w:ascii="Times New Roman" w:hAnsi="Times New Roman" w:cs="Times New Roman"/>
        </w:rPr>
      </w:pPr>
    </w:p>
    <w:p w14:paraId="2C023394" w14:textId="77777777" w:rsidR="00EB4011" w:rsidRDefault="00EB4011" w:rsidP="00EB4011">
      <w:pPr>
        <w:rPr>
          <w:rFonts w:ascii="Times New Roman" w:hAnsi="Times New Roman" w:cs="Times New Roman"/>
        </w:rPr>
      </w:pPr>
      <w:r w:rsidRPr="00A64954">
        <w:rPr>
          <w:rFonts w:ascii="Times New Roman" w:hAnsi="Times New Roman" w:cs="Times New Roman"/>
        </w:rPr>
        <w:t xml:space="preserve">The main experimental phase consisted of 168 trials (28 trials per condition). Trials were presented in a pseudorandom order, such that no more than two consecutive trials shared the same condition or target color. </w:t>
      </w:r>
    </w:p>
    <w:p w14:paraId="6B819113" w14:textId="77777777" w:rsidR="00EB4011" w:rsidRPr="00A64954" w:rsidRDefault="00EB4011" w:rsidP="00EB4011">
      <w:pPr>
        <w:rPr>
          <w:rFonts w:ascii="Times New Roman" w:hAnsi="Times New Roman" w:cs="Times New Roman"/>
        </w:rPr>
      </w:pPr>
    </w:p>
    <w:p w14:paraId="64A77DB6" w14:textId="77777777" w:rsidR="00EB4011" w:rsidRPr="00A64954" w:rsidRDefault="00EB4011" w:rsidP="00EB4011">
      <w:pPr>
        <w:rPr>
          <w:rFonts w:ascii="Times New Roman" w:hAnsi="Times New Roman" w:cs="Times New Roman"/>
        </w:rPr>
      </w:pPr>
      <w:r w:rsidRPr="00A64954">
        <w:rPr>
          <w:rFonts w:ascii="Times New Roman" w:hAnsi="Times New Roman" w:cs="Times New Roman"/>
        </w:rPr>
        <w:t>The final phase of the experiment was designed to measure the explicit sense of agency. This phase replicated the action-induction task from the main experimental phase but was followed by three self-report questions presented in random order. The questions were answered on a 7-point Likert scale ranging from 1 (“I completely disagree”) to 7 (“I completely agree”), using the numeric keypad. (The exact questions are provided below in Bulgarian.) As in the previous phase, this task included three levels of the action consistency factor: control (no action required), consistent (gaze followed the participant’s chosen direction), and inconsistent (gaze moved opposite to the participant’s chosen direction). The timing of the fixation cross, gaze movement, and inter-trial interval was identical to that of the main experimental phase. This phase consisted of 48 trials (16 trials per condition).</w:t>
      </w:r>
    </w:p>
    <w:p w14:paraId="088E9A0B" w14:textId="77777777" w:rsidR="00EB4011" w:rsidRPr="00A64954" w:rsidRDefault="00EB4011" w:rsidP="00EB4011">
      <w:pPr>
        <w:rPr>
          <w:rFonts w:ascii="Times New Roman" w:hAnsi="Times New Roman" w:cs="Times New Roman"/>
        </w:rPr>
      </w:pPr>
      <w:r w:rsidRPr="00A64954">
        <w:rPr>
          <w:rFonts w:ascii="Times New Roman" w:hAnsi="Times New Roman" w:cs="Times New Roman"/>
        </w:rPr>
        <w:t>The experiment lasted approximately 15</w:t>
      </w:r>
      <w:r>
        <w:rPr>
          <w:rFonts w:ascii="Times New Roman" w:hAnsi="Times New Roman" w:cs="Times New Roman"/>
        </w:rPr>
        <w:t>-20</w:t>
      </w:r>
      <w:r w:rsidRPr="00A64954">
        <w:rPr>
          <w:rFonts w:ascii="Times New Roman" w:hAnsi="Times New Roman" w:cs="Times New Roman"/>
        </w:rPr>
        <w:t xml:space="preserve"> minutes.</w:t>
      </w:r>
    </w:p>
    <w:p w14:paraId="61B85330" w14:textId="77777777" w:rsidR="00EB4011" w:rsidRPr="00A64954" w:rsidRDefault="00EB4011" w:rsidP="00EB4011">
      <w:pPr>
        <w:rPr>
          <w:rFonts w:ascii="Times New Roman" w:hAnsi="Times New Roman" w:cs="Times New Roman"/>
        </w:rPr>
      </w:pPr>
    </w:p>
    <w:p w14:paraId="775C454E" w14:textId="77777777" w:rsidR="00EB4011" w:rsidRPr="00A64954" w:rsidRDefault="00EB4011" w:rsidP="00EB4011">
      <w:pPr>
        <w:rPr>
          <w:rFonts w:ascii="Times New Roman" w:hAnsi="Times New Roman" w:cs="Times New Roman"/>
          <w:b/>
          <w:bCs/>
        </w:rPr>
      </w:pPr>
      <w:r w:rsidRPr="00A64954">
        <w:rPr>
          <w:rFonts w:ascii="Times New Roman" w:hAnsi="Times New Roman" w:cs="Times New Roman"/>
          <w:b/>
          <w:bCs/>
        </w:rPr>
        <w:t xml:space="preserve">Participants </w:t>
      </w:r>
    </w:p>
    <w:p w14:paraId="29DBBE9E" w14:textId="77777777" w:rsidR="00EB4011" w:rsidRPr="00A64954" w:rsidRDefault="00EB4011" w:rsidP="00EB4011">
      <w:pPr>
        <w:rPr>
          <w:rFonts w:ascii="Times New Roman" w:hAnsi="Times New Roman" w:cs="Times New Roman"/>
        </w:rPr>
      </w:pPr>
    </w:p>
    <w:p w14:paraId="6E2C81D9" w14:textId="77777777" w:rsidR="00EB4011" w:rsidRPr="00A64954" w:rsidRDefault="00EB4011" w:rsidP="00EB4011">
      <w:pPr>
        <w:rPr>
          <w:rFonts w:ascii="Times New Roman" w:hAnsi="Times New Roman" w:cs="Times New Roman"/>
        </w:rPr>
      </w:pPr>
      <w:r w:rsidRPr="00A64954">
        <w:rPr>
          <w:rFonts w:ascii="Times New Roman" w:hAnsi="Times New Roman" w:cs="Times New Roman"/>
        </w:rPr>
        <w:t xml:space="preserve">Fifty-five students participated in the experiment (14 males; M = 22.76 years, SD = 5.78). Participants either volunteered or took part in exchange for course credit after providing written informed consent. To encourage task </w:t>
      </w:r>
      <w:r w:rsidRPr="00A64954">
        <w:rPr>
          <w:rFonts w:ascii="Times New Roman" w:hAnsi="Times New Roman" w:cs="Times New Roman"/>
        </w:rPr>
        <w:lastRenderedPageBreak/>
        <w:t>engagement, the number of credits awarded was contingent on performance accuracy. Participants received 4 ECTS credits for accuracy above 90%, 3 ECTS credits for accuracy above 80%, 2 ECTS credits for accuracy above 60%, and 1 ECTS credit for accuracy below 60%. All participants had normal or corrected-to-normal vision.</w:t>
      </w:r>
    </w:p>
    <w:p w14:paraId="3C7E427D" w14:textId="77777777" w:rsidR="00EB4011" w:rsidRPr="00A64954" w:rsidRDefault="00EB4011" w:rsidP="00EB4011">
      <w:pPr>
        <w:rPr>
          <w:rFonts w:ascii="Times New Roman" w:hAnsi="Times New Roman" w:cs="Times New Roman"/>
        </w:rPr>
      </w:pPr>
    </w:p>
    <w:p w14:paraId="52C99B89" w14:textId="77777777" w:rsidR="00EB4011" w:rsidRPr="00A64954" w:rsidRDefault="00EB4011" w:rsidP="00EB4011">
      <w:pPr>
        <w:rPr>
          <w:rFonts w:ascii="Times New Roman" w:hAnsi="Times New Roman" w:cs="Times New Roman"/>
        </w:rPr>
      </w:pPr>
    </w:p>
    <w:p w14:paraId="1B60C6B7" w14:textId="77777777" w:rsidR="00EB4011" w:rsidRPr="00A64954" w:rsidRDefault="00EB4011" w:rsidP="00EB4011">
      <w:pPr>
        <w:rPr>
          <w:rFonts w:ascii="Times New Roman" w:hAnsi="Times New Roman" w:cs="Times New Roman"/>
          <w:b/>
          <w:bCs/>
        </w:rPr>
      </w:pPr>
      <w:r w:rsidRPr="00A64954">
        <w:rPr>
          <w:rFonts w:ascii="Times New Roman" w:hAnsi="Times New Roman" w:cs="Times New Roman"/>
          <w:b/>
          <w:bCs/>
        </w:rPr>
        <w:t>Stimuli</w:t>
      </w:r>
    </w:p>
    <w:p w14:paraId="6AB41C31" w14:textId="77777777" w:rsidR="00EB4011" w:rsidRPr="00A64954" w:rsidRDefault="00EB4011" w:rsidP="00EB4011">
      <w:pPr>
        <w:rPr>
          <w:rFonts w:ascii="Times New Roman" w:hAnsi="Times New Roman" w:cs="Times New Roman"/>
        </w:rPr>
      </w:pPr>
    </w:p>
    <w:p w14:paraId="1AAA691B" w14:textId="77777777" w:rsidR="00EB4011" w:rsidRPr="00A64954" w:rsidRDefault="00EB4011" w:rsidP="00EB4011">
      <w:pPr>
        <w:rPr>
          <w:rFonts w:ascii="Times New Roman" w:hAnsi="Times New Roman" w:cs="Times New Roman"/>
        </w:rPr>
      </w:pPr>
      <w:r w:rsidRPr="00A64954">
        <w:rPr>
          <w:rFonts w:ascii="Times New Roman" w:hAnsi="Times New Roman" w:cs="Times New Roman"/>
        </w:rPr>
        <w:t>The face stimul</w:t>
      </w:r>
      <w:r>
        <w:rPr>
          <w:rFonts w:ascii="Times New Roman" w:hAnsi="Times New Roman" w:cs="Times New Roman"/>
        </w:rPr>
        <w:t>us</w:t>
      </w:r>
      <w:r w:rsidRPr="00A64954">
        <w:rPr>
          <w:rFonts w:ascii="Times New Roman" w:hAnsi="Times New Roman" w:cs="Times New Roman"/>
        </w:rPr>
        <w:t xml:space="preserve"> that </w:t>
      </w:r>
      <w:r>
        <w:rPr>
          <w:rFonts w:ascii="Times New Roman" w:hAnsi="Times New Roman" w:cs="Times New Roman"/>
        </w:rPr>
        <w:t>was</w:t>
      </w:r>
      <w:r w:rsidRPr="00A64954">
        <w:rPr>
          <w:rFonts w:ascii="Times New Roman" w:hAnsi="Times New Roman" w:cs="Times New Roman"/>
        </w:rPr>
        <w:t xml:space="preserve"> used was generated by FaceGen program (FaceGen, n.d.).  The face subtended around 13° of visual angle in height and 6° - in width, centered at the screen. From both sides of the face (5° to the nearest edge of the face) squares were presented subtending 3.5°, positioned at the eye central ‘line’. Target colors were blue (Blue, RGB: 0, 0, 225) and green (Green, RGB: 0, 128, 0) filled in one of the squares as soon as the eye movement was completed. Figure 1 presents a trial example.</w:t>
      </w:r>
    </w:p>
    <w:p w14:paraId="168EFA77" w14:textId="77777777" w:rsidR="00EB4011" w:rsidRPr="00A64954" w:rsidRDefault="00EB4011" w:rsidP="00EB4011">
      <w:pPr>
        <w:rPr>
          <w:rFonts w:ascii="Times New Roman" w:hAnsi="Times New Roman" w:cs="Times New Roman"/>
        </w:rPr>
      </w:pPr>
      <w:r w:rsidRPr="00A64954">
        <w:rPr>
          <w:rFonts w:ascii="Times New Roman" w:hAnsi="Times New Roman" w:cs="Times New Roman"/>
        </w:rPr>
        <w:t xml:space="preserve"> </w:t>
      </w:r>
    </w:p>
    <w:p w14:paraId="062B6FEA" w14:textId="77777777" w:rsidR="00EB4011" w:rsidRPr="00A64954" w:rsidRDefault="00EB4011" w:rsidP="00EB4011">
      <w:pPr>
        <w:rPr>
          <w:rFonts w:ascii="Times New Roman" w:hAnsi="Times New Roman" w:cs="Times New Roman"/>
        </w:rPr>
      </w:pPr>
      <w:r w:rsidRPr="00A64954">
        <w:rPr>
          <w:rFonts w:ascii="Times New Roman" w:hAnsi="Times New Roman" w:cs="Times New Roman"/>
        </w:rPr>
        <w:t xml:space="preserve">Stimuli presentation and response collection was controlled by E-prime 2.0 software (Schneider, Eschman, &amp; Zuccolotto, 2002). Participants were tested individually in a sound-proof booth in front of 22-inch monitor with resolution of 1920x1080 pixels and refresh rate of 50 Hz. They were positioned at around 60 cm from the screen. </w:t>
      </w:r>
    </w:p>
    <w:p w14:paraId="5DC44C15" w14:textId="77777777" w:rsidR="00EB4011" w:rsidRDefault="00EB4011" w:rsidP="00EB4011">
      <w:pPr>
        <w:rPr>
          <w:b/>
          <w:bCs/>
        </w:rPr>
      </w:pPr>
    </w:p>
    <w:p w14:paraId="4D9B88B0" w14:textId="77777777" w:rsidR="00EB4011" w:rsidRDefault="00EB4011" w:rsidP="00EB4011">
      <w:pPr>
        <w:rPr>
          <w:b/>
          <w:bCs/>
        </w:rPr>
      </w:pPr>
    </w:p>
    <w:p w14:paraId="06CA90EF" w14:textId="77777777" w:rsidR="00EB4011" w:rsidRDefault="00EB4011" w:rsidP="00EB4011">
      <w:pPr>
        <w:rPr>
          <w:b/>
          <w:bCs/>
        </w:rPr>
      </w:pPr>
    </w:p>
    <w:p w14:paraId="7EC2B5A0" w14:textId="77777777" w:rsidR="00EB4011" w:rsidRDefault="00EB4011" w:rsidP="00EB4011">
      <w:pPr>
        <w:rPr>
          <w:b/>
          <w:bCs/>
        </w:rPr>
      </w:pPr>
    </w:p>
    <w:p w14:paraId="479546B5" w14:textId="77777777" w:rsidR="00EB4011" w:rsidRDefault="00EB4011" w:rsidP="00EB4011">
      <w:pPr>
        <w:rPr>
          <w:b/>
          <w:bCs/>
        </w:rPr>
      </w:pPr>
    </w:p>
    <w:p w14:paraId="0CEB0817" w14:textId="77777777" w:rsidR="00EB4011" w:rsidRDefault="00EB4011" w:rsidP="00EB4011">
      <w:pPr>
        <w:rPr>
          <w:b/>
          <w:bCs/>
        </w:rPr>
      </w:pPr>
    </w:p>
    <w:p w14:paraId="765B5D29" w14:textId="77777777" w:rsidR="00EB4011" w:rsidRDefault="00EB4011" w:rsidP="00EB4011">
      <w:pPr>
        <w:rPr>
          <w:b/>
          <w:bCs/>
        </w:rPr>
      </w:pPr>
    </w:p>
    <w:p w14:paraId="0C4FADC3" w14:textId="77777777" w:rsidR="00EB4011" w:rsidRDefault="00EB4011" w:rsidP="00EB4011">
      <w:pPr>
        <w:rPr>
          <w:b/>
          <w:bCs/>
        </w:rPr>
      </w:pPr>
    </w:p>
    <w:p w14:paraId="42E5A320" w14:textId="77777777" w:rsidR="00EB4011" w:rsidRDefault="00EB4011" w:rsidP="00EB4011">
      <w:pPr>
        <w:rPr>
          <w:b/>
          <w:bCs/>
        </w:rPr>
      </w:pPr>
    </w:p>
    <w:p w14:paraId="38E392D9" w14:textId="77777777" w:rsidR="00EB4011" w:rsidRDefault="00EB4011" w:rsidP="00EB4011">
      <w:pPr>
        <w:rPr>
          <w:b/>
          <w:bCs/>
        </w:rPr>
      </w:pPr>
    </w:p>
    <w:p w14:paraId="4F4FFFB6" w14:textId="77777777" w:rsidR="00EB4011" w:rsidRDefault="00EB4011" w:rsidP="00EB4011">
      <w:pPr>
        <w:rPr>
          <w:b/>
          <w:bCs/>
        </w:rPr>
      </w:pPr>
    </w:p>
    <w:p w14:paraId="0496357D" w14:textId="77777777" w:rsidR="00EB4011" w:rsidRDefault="00EB4011" w:rsidP="00EB4011">
      <w:pPr>
        <w:rPr>
          <w:b/>
          <w:bCs/>
        </w:rPr>
      </w:pPr>
    </w:p>
    <w:p w14:paraId="2A2C6712" w14:textId="77777777" w:rsidR="00EB4011" w:rsidRDefault="00EB4011" w:rsidP="00EB4011">
      <w:pPr>
        <w:rPr>
          <w:b/>
          <w:bCs/>
        </w:rPr>
      </w:pPr>
    </w:p>
    <w:p w14:paraId="783E0646" w14:textId="77777777" w:rsidR="00EB4011" w:rsidRDefault="00EB4011" w:rsidP="00EB4011">
      <w:pPr>
        <w:rPr>
          <w:b/>
          <w:bCs/>
        </w:rPr>
      </w:pPr>
    </w:p>
    <w:p w14:paraId="1D4DACBD" w14:textId="77777777" w:rsidR="00EB4011" w:rsidRDefault="00EB4011" w:rsidP="00EB4011">
      <w:pPr>
        <w:rPr>
          <w:b/>
          <w:bCs/>
        </w:rPr>
      </w:pPr>
    </w:p>
    <w:p w14:paraId="3EAFC08F" w14:textId="77777777" w:rsidR="00EB4011" w:rsidRDefault="00EB4011" w:rsidP="00EB4011">
      <w:pPr>
        <w:rPr>
          <w:b/>
          <w:bCs/>
        </w:rPr>
      </w:pPr>
    </w:p>
    <w:p w14:paraId="44E3EDB2" w14:textId="77777777" w:rsidR="00EB4011" w:rsidRDefault="00EB4011" w:rsidP="00EB4011">
      <w:pPr>
        <w:rPr>
          <w:b/>
          <w:bCs/>
        </w:rPr>
      </w:pPr>
    </w:p>
    <w:p w14:paraId="0454004D" w14:textId="77777777" w:rsidR="00EB4011" w:rsidRDefault="00EB4011" w:rsidP="00EB4011">
      <w:pPr>
        <w:rPr>
          <w:b/>
          <w:bCs/>
        </w:rPr>
      </w:pPr>
    </w:p>
    <w:p w14:paraId="7558BD2C" w14:textId="77777777" w:rsidR="00EB4011" w:rsidRDefault="00EB4011" w:rsidP="00EB4011">
      <w:pPr>
        <w:rPr>
          <w:b/>
          <w:bCs/>
        </w:rPr>
      </w:pPr>
    </w:p>
    <w:p w14:paraId="0084FC62" w14:textId="77777777" w:rsidR="00EB4011" w:rsidRDefault="00EB4011" w:rsidP="00EB4011">
      <w:pPr>
        <w:rPr>
          <w:b/>
          <w:bCs/>
        </w:rPr>
      </w:pPr>
    </w:p>
    <w:p w14:paraId="1CCC1F3B" w14:textId="77777777" w:rsidR="00EB4011" w:rsidRDefault="00EB4011" w:rsidP="00EB4011">
      <w:pPr>
        <w:rPr>
          <w:b/>
          <w:bCs/>
        </w:rPr>
      </w:pPr>
    </w:p>
    <w:p w14:paraId="1462A85C" w14:textId="77777777" w:rsidR="00EB4011" w:rsidRDefault="00EB4011" w:rsidP="00EB4011">
      <w:pPr>
        <w:rPr>
          <w:b/>
          <w:bCs/>
        </w:rPr>
      </w:pPr>
    </w:p>
    <w:p w14:paraId="11C85C53" w14:textId="77777777" w:rsidR="00EB4011" w:rsidRDefault="00EB4011" w:rsidP="00EB4011">
      <w:pPr>
        <w:rPr>
          <w:b/>
          <w:bCs/>
        </w:rPr>
      </w:pPr>
    </w:p>
    <w:p w14:paraId="3610B583" w14:textId="77777777" w:rsidR="00EB4011" w:rsidRDefault="00EB4011" w:rsidP="00EB4011">
      <w:pPr>
        <w:rPr>
          <w:b/>
          <w:bCs/>
        </w:rPr>
      </w:pPr>
    </w:p>
    <w:p w14:paraId="1BDCBA48" w14:textId="77777777" w:rsidR="00EB4011" w:rsidRDefault="00EB4011" w:rsidP="00EB4011">
      <w:pPr>
        <w:rPr>
          <w:b/>
          <w:bCs/>
        </w:rPr>
      </w:pPr>
    </w:p>
    <w:p w14:paraId="0DE0C8BD" w14:textId="77777777" w:rsidR="00EB4011" w:rsidRDefault="00EB4011" w:rsidP="00EB4011">
      <w:pPr>
        <w:rPr>
          <w:b/>
          <w:bCs/>
        </w:rPr>
      </w:pPr>
    </w:p>
    <w:p w14:paraId="218C402E" w14:textId="77777777" w:rsidR="00EB4011" w:rsidRDefault="00EB4011" w:rsidP="00EB4011">
      <w:pPr>
        <w:rPr>
          <w:b/>
          <w:bCs/>
        </w:rPr>
      </w:pPr>
    </w:p>
    <w:p w14:paraId="00E90405" w14:textId="77777777" w:rsidR="00EB4011" w:rsidRDefault="00EB4011" w:rsidP="00EB4011">
      <w:pPr>
        <w:rPr>
          <w:b/>
          <w:bCs/>
        </w:rPr>
      </w:pPr>
    </w:p>
    <w:p w14:paraId="2A426AEB" w14:textId="77777777" w:rsidR="00EB4011" w:rsidRDefault="00EB4011" w:rsidP="00EB4011">
      <w:pPr>
        <w:rPr>
          <w:b/>
          <w:bCs/>
        </w:rPr>
      </w:pPr>
    </w:p>
    <w:p w14:paraId="6979BDBA" w14:textId="77777777" w:rsidR="00EB4011" w:rsidRDefault="00EB4011" w:rsidP="00EB4011">
      <w:pPr>
        <w:rPr>
          <w:b/>
          <w:bCs/>
        </w:rPr>
      </w:pPr>
    </w:p>
    <w:p w14:paraId="3B2B28E8" w14:textId="77777777" w:rsidR="00EB4011" w:rsidRDefault="00EB4011" w:rsidP="00EB4011">
      <w:pPr>
        <w:rPr>
          <w:b/>
          <w:bCs/>
        </w:rPr>
      </w:pPr>
    </w:p>
    <w:p w14:paraId="380DEFFC" w14:textId="77777777" w:rsidR="00EB4011" w:rsidRDefault="00EB4011" w:rsidP="00EB4011">
      <w:pPr>
        <w:rPr>
          <w:b/>
          <w:bCs/>
        </w:rPr>
      </w:pPr>
    </w:p>
    <w:p w14:paraId="1ACF0A0F" w14:textId="77777777" w:rsidR="00EB4011" w:rsidRDefault="00EB4011" w:rsidP="00EB4011">
      <w:pPr>
        <w:rPr>
          <w:b/>
          <w:bCs/>
        </w:rPr>
      </w:pPr>
    </w:p>
    <w:p w14:paraId="078056FC" w14:textId="77777777" w:rsidR="00EB4011" w:rsidRDefault="00EB4011" w:rsidP="00EB4011">
      <w:pPr>
        <w:rPr>
          <w:b/>
          <w:bCs/>
        </w:rPr>
      </w:pPr>
    </w:p>
    <w:p w14:paraId="47D592C6" w14:textId="77777777" w:rsidR="00EB4011" w:rsidRDefault="00EB4011" w:rsidP="00EB4011">
      <w:pPr>
        <w:rPr>
          <w:b/>
          <w:bCs/>
        </w:rPr>
      </w:pPr>
    </w:p>
    <w:p w14:paraId="4A7B2E3F" w14:textId="77777777" w:rsidR="00EB4011" w:rsidRDefault="00EB4011" w:rsidP="00EB4011">
      <w:pPr>
        <w:rPr>
          <w:b/>
          <w:bCs/>
        </w:rPr>
      </w:pPr>
    </w:p>
    <w:p w14:paraId="00BF3C2B" w14:textId="77777777" w:rsidR="00EB4011" w:rsidRDefault="00EB4011" w:rsidP="00EB4011">
      <w:pPr>
        <w:rPr>
          <w:b/>
          <w:bCs/>
        </w:rPr>
      </w:pPr>
    </w:p>
    <w:p w14:paraId="4EF88028" w14:textId="77777777" w:rsidR="00EB4011" w:rsidRDefault="00EB4011" w:rsidP="00EB4011">
      <w:pPr>
        <w:rPr>
          <w:b/>
          <w:bCs/>
        </w:rPr>
      </w:pPr>
    </w:p>
    <w:p w14:paraId="4EA79B2B" w14:textId="4C6C63B5" w:rsidR="00EB4011" w:rsidRDefault="00EB4011" w:rsidP="00EB4011">
      <w:pPr>
        <w:rPr>
          <w:b/>
          <w:bCs/>
        </w:rPr>
      </w:pPr>
      <w:r w:rsidRPr="00EB4011">
        <w:lastRenderedPageBreak/>
        <w:pict w14:anchorId="0D3885A9">
          <v:rect id="_x0000_i1067" style="width:0;height:1.5pt" o:hralign="center" o:hrstd="t" o:hr="t" fillcolor="#a0a0a0" stroked="f"/>
        </w:pict>
      </w:r>
    </w:p>
    <w:p w14:paraId="0EF89CC9" w14:textId="77777777" w:rsidR="00EB4011" w:rsidRDefault="00EB4011" w:rsidP="00EB4011">
      <w:pPr>
        <w:rPr>
          <w:b/>
          <w:bCs/>
        </w:rPr>
      </w:pPr>
    </w:p>
    <w:p w14:paraId="72A38E87" w14:textId="77777777" w:rsidR="00EB4011" w:rsidRPr="00EB4011" w:rsidRDefault="00EB4011" w:rsidP="00EB4011">
      <w:pPr>
        <w:rPr>
          <w:b/>
          <w:bCs/>
        </w:rPr>
      </w:pPr>
      <w:r w:rsidRPr="00EB4011">
        <w:rPr>
          <w:b/>
          <w:bCs/>
        </w:rPr>
        <w:t>Метод и дизайн</w:t>
      </w:r>
    </w:p>
    <w:p w14:paraId="079FC423" w14:textId="77777777" w:rsidR="00EB4011" w:rsidRPr="00EB4011" w:rsidRDefault="00EB4011" w:rsidP="00EB4011">
      <w:r w:rsidRPr="00EB4011">
        <w:t>Експериментът използва вътресубектен дизайн с два фактора: конгруентност на погледа и консистентност на действието. Процедурата се състоеше от три фази: тренировъчна фаза, основна експериментална фаза и фаза с въпросници. Тренировъчната фаза беше идентична с основната експериментална фаза и имаше за цел да запознае участниците със задачата.</w:t>
      </w:r>
    </w:p>
    <w:p w14:paraId="17342632" w14:textId="77777777" w:rsidR="00EB4011" w:rsidRPr="00EB4011" w:rsidRDefault="00EB4011" w:rsidP="00EB4011">
      <w:r w:rsidRPr="00EB4011">
        <w:t xml:space="preserve">По време на тренировъчната и експерименталната фаза независимите променливи бяха манипулирани, както следва. Факторът </w:t>
      </w:r>
      <w:r w:rsidRPr="00EB4011">
        <w:rPr>
          <w:i/>
          <w:iCs/>
        </w:rPr>
        <w:t>конгруентност на погледа</w:t>
      </w:r>
      <w:r w:rsidRPr="00EB4011">
        <w:t xml:space="preserve"> имаше две нива: конгруентен, когато погледът беше насочен към позицията на таргета, и инконгруентен, когато погледът беше насочен в противоположната посока. </w:t>
      </w:r>
      <w:r w:rsidRPr="00EB4011">
        <w:rPr>
          <w:i/>
          <w:iCs/>
        </w:rPr>
        <w:t>Консистентност на действието</w:t>
      </w:r>
      <w:r w:rsidRPr="00EB4011">
        <w:t xml:space="preserve"> се отнасяше до връзката между преднамерената от участника посока на действие и действителната посока на погледа – т.е. дали погледът следва посоката, избрана от участника. Този фактор включваше три нива: контролно, при проби, в които не се изискваше избор на посока; консистентно, когато погледът беше в съответствие с избраната от участника посока; и инконсистентно, когато погледът беше насочен в противоположна на избраната от участника посока.</w:t>
      </w:r>
    </w:p>
    <w:p w14:paraId="46A9F779" w14:textId="77777777" w:rsidR="00EB4011" w:rsidRPr="00EB4011" w:rsidRDefault="00EB4011" w:rsidP="00EB4011">
      <w:r w:rsidRPr="00EB4011">
        <w:t>В заключителната част на процедурата експлицитното чувство за агентност беше измерено чрез самооценъчни въпроси. Участниците трябваше да посочат степента, в която са чувствали, че контролират, причиняват или предвиждат движенията на погледа. (Точните въпроси са представени по-долу на български и английски.)</w:t>
      </w:r>
    </w:p>
    <w:p w14:paraId="0187B65A" w14:textId="77777777" w:rsidR="00EB4011" w:rsidRPr="00EB4011" w:rsidRDefault="00EB4011" w:rsidP="00EB4011">
      <w:r w:rsidRPr="00EB4011">
        <w:pict w14:anchorId="0B10C52A">
          <v:rect id="_x0000_i1056" style="width:0;height:1.5pt" o:hralign="center" o:hrstd="t" o:hr="t" fillcolor="#a0a0a0" stroked="f"/>
        </w:pict>
      </w:r>
    </w:p>
    <w:p w14:paraId="4E6B428E" w14:textId="77777777" w:rsidR="00EB4011" w:rsidRPr="00EB4011" w:rsidRDefault="00EB4011" w:rsidP="00EB4011">
      <w:pPr>
        <w:rPr>
          <w:b/>
          <w:bCs/>
        </w:rPr>
      </w:pPr>
      <w:r w:rsidRPr="00EB4011">
        <w:rPr>
          <w:b/>
          <w:bCs/>
        </w:rPr>
        <w:t>Процедура</w:t>
      </w:r>
    </w:p>
    <w:p w14:paraId="03E533B5" w14:textId="77777777" w:rsidR="00EB4011" w:rsidRPr="00EB4011" w:rsidRDefault="00EB4011" w:rsidP="00EB4011">
      <w:r w:rsidRPr="00EB4011">
        <w:t>Първоначално участниците бяха информирани за експерименталните инструкции. Експериментът започна с тренировъчна фаза, еквивалентна на основната експериментална процедура. Поради сложността на дизайна тренировъчната фаза беше включена, за да се гарантира, че участниците напълно разбират изискванията на задачата. Тренировъчната фаза се състоеше от 20 проби, като данните от тези проби не бяха включени в анализите.</w:t>
      </w:r>
    </w:p>
    <w:p w14:paraId="0AFD57D6" w14:textId="77777777" w:rsidR="00EB4011" w:rsidRPr="00EB4011" w:rsidRDefault="00EB4011" w:rsidP="00EB4011">
      <w:r w:rsidRPr="00EB4011">
        <w:t>След тренировъчната фаза инструкциите бяха представени отново, след което участниците изпълниха основната експериментална фаза. В тази фаза във всяка проба участниците изпълняваха две последователни задачи.</w:t>
      </w:r>
    </w:p>
    <w:p w14:paraId="341F5F3F" w14:textId="77777777" w:rsidR="00EB4011" w:rsidRPr="00EB4011" w:rsidRDefault="00EB4011" w:rsidP="00EB4011">
      <w:r w:rsidRPr="00EB4011">
        <w:t>Първо, с цел индуциране на чувство за агентност, участниците трябваше да изберат посоката на предстоящото движение на погледа преди то да се случи. Те обозначаваха намерената от тях посока чрез натискане на клавиш от клавиатурата, съответстващ на ляво или дясно (6 = дясно и 4 = ляво; в балансираната версия – d = дясно и a = ляво). В две трети от пробите (наричани активни проби) участниците активно избираха посоката на погледа чрез натискане на бутон. В половината от тези проби посоката на погледа съвпадаше с избора на участника (консистентни проби), а в другата половина се движеше в противоположната посока (инконсистентни проби). В останалата една трета от пробите (контролни проби) не се изискваше избор на посока и не се натискаше бутон; посоката на погледа в тези проби се определяше на случаен принцип с равна вероятност за движение наляво или надясно.</w:t>
      </w:r>
    </w:p>
    <w:p w14:paraId="3295B7B3" w14:textId="77777777" w:rsidR="00EB4011" w:rsidRPr="00EB4011" w:rsidRDefault="00EB4011" w:rsidP="00EB4011">
      <w:r w:rsidRPr="00EB4011">
        <w:t>Задачата за посока на погледа беше последвана от модифицирана версия на стандартната парадигма за насочване на вниманието чрез поглед (gaze-cueing paradigm; цит.). В стандартната парадигма лице се представя в центъра на екрана и насочва погледа си наляво или надясно, след което таргет се появява от едната страна на екрана. В настоящия експеримент централно представеното лице беше придружено от два правоъгълника, разположени от двете му страни. След приключване на движението на погледа един от правоъгълниците (таргетът) променяше цвета си на зелен или син. Участниците трябваше да изпълнят задача за дискриминация на цвета, като натиснат съответния бутон за отговор (a или d; в балансираната версия – 4 или 6). Както съответствието стимул–отговор, така и разпределението на бутоните за задачата бяха балансирани между участниците.</w:t>
      </w:r>
    </w:p>
    <w:p w14:paraId="34B51044" w14:textId="77777777" w:rsidR="00EB4011" w:rsidRPr="00EB4011" w:rsidRDefault="00EB4011" w:rsidP="00EB4011">
      <w:r w:rsidRPr="00EB4011">
        <w:t>Всяка проба протичаше по следния начин:</w:t>
      </w:r>
    </w:p>
    <w:p w14:paraId="213DCA0F" w14:textId="77777777" w:rsidR="00EB4011" w:rsidRPr="00EB4011" w:rsidRDefault="00EB4011" w:rsidP="00EB4011">
      <w:pPr>
        <w:numPr>
          <w:ilvl w:val="0"/>
          <w:numId w:val="1"/>
        </w:numPr>
      </w:pPr>
      <w:r w:rsidRPr="00EB4011">
        <w:t>В центъра на екрана се появяваше фиксационен кръст за 1 s. Червен кръст сигнализираше контролна проба (без изискване за действие), а зелен кръст – активна проба, при която участникът трябваше да натисне бутон, за да избере посоката на погледа.</w:t>
      </w:r>
    </w:p>
    <w:p w14:paraId="5A7D749E" w14:textId="77777777" w:rsidR="00EB4011" w:rsidRPr="00EB4011" w:rsidRDefault="00EB4011" w:rsidP="00EB4011">
      <w:pPr>
        <w:numPr>
          <w:ilvl w:val="0"/>
          <w:numId w:val="1"/>
        </w:numPr>
      </w:pPr>
      <w:r w:rsidRPr="00EB4011">
        <w:lastRenderedPageBreak/>
        <w:t>След това се представяше лице, гледащо право напред. В контролните проби лицето оставаше на екрана за случайна продължителност между 350 и 550 ms. В активните проби лицето оставаше, докато участникът не натисне бутон за избор на посока.</w:t>
      </w:r>
    </w:p>
    <w:p w14:paraId="19EFC311" w14:textId="77777777" w:rsidR="00EB4011" w:rsidRPr="00EB4011" w:rsidRDefault="00EB4011" w:rsidP="00EB4011">
      <w:pPr>
        <w:numPr>
          <w:ilvl w:val="0"/>
          <w:numId w:val="1"/>
        </w:numPr>
      </w:pPr>
      <w:r w:rsidRPr="00EB4011">
        <w:t>След това започваше движението на погледа, което продължаваше 210 ms и се състоеше от седем последователни кадъра с леки измествания на зениците (всеки представен за 30 ms), за да се създаде плавно и непрекъснато движение на погледа. Погледът можеше да бъде конгруентен или инконгруентен спрямо позицията на таргета.</w:t>
      </w:r>
    </w:p>
    <w:p w14:paraId="1E1B2BB5" w14:textId="77777777" w:rsidR="00EB4011" w:rsidRPr="00EB4011" w:rsidRDefault="00EB4011" w:rsidP="00EB4011">
      <w:pPr>
        <w:numPr>
          <w:ilvl w:val="0"/>
          <w:numId w:val="1"/>
        </w:numPr>
      </w:pPr>
      <w:r w:rsidRPr="00EB4011">
        <w:t>Непосредствено след края на движението на погледа се появяваше таргетът: един от двата правоъгълника променяше цвета си на зелен или син. Таргетът оставаше на екрана до 3 s или до подаване на отговор. Ако в този интервал не се подадеше отговор, фиксационният кръст се появяваше отново и започваше следващата проба.</w:t>
      </w:r>
    </w:p>
    <w:p w14:paraId="13689201" w14:textId="77777777" w:rsidR="00EB4011" w:rsidRPr="00EB4011" w:rsidRDefault="00EB4011" w:rsidP="00EB4011">
      <w:pPr>
        <w:numPr>
          <w:ilvl w:val="0"/>
          <w:numId w:val="1"/>
        </w:numPr>
      </w:pPr>
      <w:r w:rsidRPr="00EB4011">
        <w:t>В края на пробата се представяше интервал между пробите с продължителност 1 s.</w:t>
      </w:r>
    </w:p>
    <w:p w14:paraId="2DB5DC46" w14:textId="77777777" w:rsidR="00EB4011" w:rsidRPr="00EB4011" w:rsidRDefault="00EB4011" w:rsidP="00EB4011">
      <w:r w:rsidRPr="00EB4011">
        <w:t>Основната експериментална фаза се състоеше от 168 проби (28 проби за всяко условие). Пробите бяха представени в псевдослучаен ред, така че не повече от две последователни проби да споделят едно и също условие или цвят на таргета.</w:t>
      </w:r>
    </w:p>
    <w:p w14:paraId="34D02DD7" w14:textId="77777777" w:rsidR="00EB4011" w:rsidRPr="00EB4011" w:rsidRDefault="00EB4011" w:rsidP="00EB4011">
      <w:r w:rsidRPr="00EB4011">
        <w:t>Заключителната фаза на експеримента беше предназначена за измерване на експлицитното чувство за агентност. Тази фаза възпроизвеждаше задачата за индуциране на действие от основната експериментална фаза, но след нея бяха представени три самооценъчни въпроса в случаен ред. Отговорите се даваха по 7-степенна скала на Ликерт, варираща от 1 („Напълно не съм съгласен/съгласна“) до 7 („Напълно съм съгласен/съгласна“), като се използваше цифровата клавиатура. (Точните въпроси са представени по-долу на български.) Както и в предходната фаза, тази задача включваше три нива на фактора консистентност на действието: контролно (без изискване за действие), консистентно (погледът следва избраната от участника посока) и инконсистентно (погледът се движи в противоположна на избраната от участника посока). Времевите параметри на фиксационния кръст, движението на погледа и интервала между пробите бяха идентични с тези в основната експериментална фаза. Тази фаза се състоеше от 48 проби (16 проби за всяко условие).</w:t>
      </w:r>
    </w:p>
    <w:p w14:paraId="317B64BA" w14:textId="77777777" w:rsidR="00EB4011" w:rsidRPr="00EB4011" w:rsidRDefault="00EB4011" w:rsidP="00EB4011">
      <w:r w:rsidRPr="00EB4011">
        <w:t>Продължителността на експеримента беше приблизително 15–20 минути.</w:t>
      </w:r>
    </w:p>
    <w:p w14:paraId="65D40251" w14:textId="77777777" w:rsidR="00EB4011" w:rsidRPr="00EB4011" w:rsidRDefault="00EB4011" w:rsidP="00EB4011">
      <w:r w:rsidRPr="00EB4011">
        <w:pict w14:anchorId="1D68A2FE">
          <v:rect id="_x0000_i1057" style="width:0;height:1.5pt" o:hralign="center" o:hrstd="t" o:hr="t" fillcolor="#a0a0a0" stroked="f"/>
        </w:pict>
      </w:r>
    </w:p>
    <w:p w14:paraId="1169D9F6" w14:textId="77777777" w:rsidR="00EB4011" w:rsidRPr="00EB4011" w:rsidRDefault="00EB4011" w:rsidP="00EB4011">
      <w:pPr>
        <w:rPr>
          <w:b/>
          <w:bCs/>
        </w:rPr>
      </w:pPr>
      <w:r w:rsidRPr="00EB4011">
        <w:rPr>
          <w:b/>
          <w:bCs/>
        </w:rPr>
        <w:t>Участници</w:t>
      </w:r>
    </w:p>
    <w:p w14:paraId="24DB6180" w14:textId="77777777" w:rsidR="00EB4011" w:rsidRPr="00EB4011" w:rsidRDefault="00EB4011" w:rsidP="00EB4011">
      <w:r w:rsidRPr="00EB4011">
        <w:t>В експеримента участваха 55 студенти (14 мъже; M = 22.76 години, SD = 5.78). Участниците се включиха доброволно или в замяна на кредити по учебна дисциплина след предоставяне на писмено информирано съгласие. За да се насърчи ангажираността със задачата, броят на получените кредити зависеше от точността на изпълнението. Участниците получаваха 4 ECTS кредита при точност над 90%, 3 ECTS кредита при точност над 80%, 2 ECTS кредита при точност над 60% и 1 ECTS кредит при точност под 60%. Всички участници имаха нормално или коригирано до нормално зрение.</w:t>
      </w:r>
    </w:p>
    <w:p w14:paraId="0F3828A5" w14:textId="77777777" w:rsidR="00EB4011" w:rsidRPr="00EB4011" w:rsidRDefault="00EB4011" w:rsidP="00EB4011">
      <w:r w:rsidRPr="00EB4011">
        <w:pict w14:anchorId="5241AFBB">
          <v:rect id="_x0000_i1058" style="width:0;height:1.5pt" o:hralign="center" o:hrstd="t" o:hr="t" fillcolor="#a0a0a0" stroked="f"/>
        </w:pict>
      </w:r>
    </w:p>
    <w:p w14:paraId="787BFDCE" w14:textId="77777777" w:rsidR="00EB4011" w:rsidRPr="00EB4011" w:rsidRDefault="00EB4011" w:rsidP="00EB4011">
      <w:pPr>
        <w:rPr>
          <w:b/>
          <w:bCs/>
        </w:rPr>
      </w:pPr>
      <w:r w:rsidRPr="00EB4011">
        <w:rPr>
          <w:b/>
          <w:bCs/>
        </w:rPr>
        <w:t>Стимули</w:t>
      </w:r>
    </w:p>
    <w:p w14:paraId="47C4CD0F" w14:textId="77777777" w:rsidR="00EB4011" w:rsidRPr="00EB4011" w:rsidRDefault="00EB4011" w:rsidP="00EB4011">
      <w:r w:rsidRPr="00EB4011">
        <w:t>Лицевият стимул беше генериран с програмата FaceGen (FaceGen, n.d.). Лицето заемаше приблизително 13° от зрителния ъгъл по височина и 6° по ширина и беше центрирано на екрана. От двете страни на лицето (на разстояние 5° до най-близкия му край) бяха представени квадрати с размер 3.5° от зрителния ъгъл, разположени по централната хоризонтална линия на очите. Цветовете на таргета бяха син (Blue, RGB: 0, 0, 225) и зелен (Green, RGB: 0, 128, 0), като един от квадратите се запълваше с цвят веднага след приключване на движението на погледа. Фигура 1 представя пример за проба.</w:t>
      </w:r>
    </w:p>
    <w:p w14:paraId="63FB90CA" w14:textId="77777777" w:rsidR="00EB4011" w:rsidRPr="00EB4011" w:rsidRDefault="00EB4011" w:rsidP="00EB4011">
      <w:r w:rsidRPr="00EB4011">
        <w:t>Представянето на стимулите и регистрирането на отговорите се контролираше от софтуера E-prime 2.0 (Schneider, Eschman, &amp; Zuccolotto, 2002). Участниците бяха тествани индивидуално в звукоизолирана кабина пред 22-инчов монитор с резолюция 1920 × 1080 пиксела и честота на опресняване 50 Hz. Те бяха разположени на приблизително 60 cm от екрана.</w:t>
      </w:r>
    </w:p>
    <w:p w14:paraId="44EE7524" w14:textId="77777777" w:rsidR="004E4C20" w:rsidRDefault="004E4C20"/>
    <w:sectPr w:rsidR="004E4C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loyan Zdravkov" w:date="2026-01-19T17:53:00Z" w:initials="KZ">
    <w:p w14:paraId="0F2DD119" w14:textId="77777777" w:rsidR="00EB4011" w:rsidRPr="00056082" w:rsidRDefault="00EB4011" w:rsidP="00EB4011">
      <w:pPr>
        <w:pStyle w:val="Head2"/>
        <w:rPr>
          <w:rFonts w:ascii="Times New Roman" w:hAnsi="Times New Roman" w:cs="Times New Roman"/>
          <w:b w:val="0"/>
          <w:bCs/>
          <w:sz w:val="20"/>
        </w:rPr>
      </w:pPr>
      <w:r>
        <w:rPr>
          <w:rStyle w:val="CommentReference"/>
        </w:rPr>
        <w:annotationRef/>
      </w:r>
      <w:r w:rsidRPr="00056082">
        <w:rPr>
          <w:rFonts w:ascii="Times New Roman" w:hAnsi="Times New Roman" w:cs="Times New Roman"/>
          <w:b w:val="0"/>
          <w:bCs/>
          <w:sz w:val="20"/>
        </w:rPr>
        <w:t>3 conceptually related questions, 48 times each,</w:t>
      </w:r>
    </w:p>
    <w:p w14:paraId="6BBB5FA1" w14:textId="77777777" w:rsidR="00EB4011" w:rsidRPr="00056082" w:rsidRDefault="00EB4011" w:rsidP="00EB4011">
      <w:pPr>
        <w:pStyle w:val="Head2"/>
        <w:rPr>
          <w:rFonts w:ascii="Times New Roman" w:hAnsi="Times New Roman" w:cs="Times New Roman"/>
          <w:b w:val="0"/>
          <w:bCs/>
          <w:sz w:val="20"/>
        </w:rPr>
      </w:pPr>
    </w:p>
    <w:p w14:paraId="0E50A27F" w14:textId="77777777" w:rsidR="00EB4011" w:rsidRPr="00056082" w:rsidRDefault="00EB4011" w:rsidP="00EB4011">
      <w:pPr>
        <w:pStyle w:val="Head2"/>
        <w:rPr>
          <w:rFonts w:ascii="Times New Roman" w:hAnsi="Times New Roman" w:cs="Times New Roman"/>
          <w:b w:val="0"/>
          <w:bCs/>
          <w:sz w:val="20"/>
        </w:rPr>
      </w:pPr>
      <w:r w:rsidRPr="00056082">
        <w:rPr>
          <w:rFonts w:ascii="Times New Roman" w:hAnsi="Times New Roman" w:cs="Times New Roman"/>
          <w:b w:val="0"/>
          <w:bCs/>
          <w:sz w:val="20"/>
        </w:rPr>
        <w:t>A total of 55 participants entered the study. * 168  trials</w:t>
      </w:r>
    </w:p>
    <w:p w14:paraId="4676911E" w14:textId="77777777" w:rsidR="00EB4011" w:rsidRPr="00056082" w:rsidRDefault="00EB4011" w:rsidP="00EB4011">
      <w:pPr>
        <w:pStyle w:val="Head2"/>
        <w:rPr>
          <w:rFonts w:ascii="Times New Roman" w:hAnsi="Times New Roman" w:cs="Times New Roman"/>
          <w:b w:val="0"/>
          <w:bCs/>
          <w:sz w:val="20"/>
        </w:rPr>
      </w:pPr>
      <w:r w:rsidRPr="00056082">
        <w:rPr>
          <w:rFonts w:ascii="Times New Roman" w:hAnsi="Times New Roman" w:cs="Times New Roman"/>
          <w:b w:val="0"/>
          <w:bCs/>
          <w:sz w:val="20"/>
        </w:rPr>
        <w:t>-</w:t>
      </w:r>
      <w:r w:rsidRPr="00056082">
        <w:rPr>
          <w:rFonts w:ascii="Times New Roman" w:hAnsi="Times New Roman" w:cs="Times New Roman"/>
          <w:b w:val="0"/>
          <w:bCs/>
          <w:sz w:val="20"/>
        </w:rPr>
        <w:tab/>
        <w:t>3 were removed due to technical issues while they participated in the experiment.</w:t>
      </w:r>
    </w:p>
    <w:p w14:paraId="4DAA0177" w14:textId="77777777" w:rsidR="00EB4011" w:rsidRPr="00056082" w:rsidRDefault="00EB4011" w:rsidP="00EB4011">
      <w:pPr>
        <w:pStyle w:val="Head2"/>
        <w:rPr>
          <w:rFonts w:ascii="Times New Roman" w:hAnsi="Times New Roman" w:cs="Times New Roman"/>
          <w:b w:val="0"/>
          <w:bCs/>
          <w:sz w:val="20"/>
        </w:rPr>
      </w:pPr>
      <w:r w:rsidRPr="00056082">
        <w:rPr>
          <w:rFonts w:ascii="Times New Roman" w:hAnsi="Times New Roman" w:cs="Times New Roman"/>
          <w:b w:val="0"/>
          <w:bCs/>
          <w:sz w:val="20"/>
        </w:rPr>
        <w:t>-</w:t>
      </w:r>
      <w:r w:rsidRPr="00056082">
        <w:rPr>
          <w:rFonts w:ascii="Times New Roman" w:hAnsi="Times New Roman" w:cs="Times New Roman"/>
          <w:b w:val="0"/>
          <w:bCs/>
          <w:sz w:val="20"/>
        </w:rPr>
        <w:tab/>
        <w:t xml:space="preserve">7 participants were excluded due to accuracy lower than 85% in the main experiment.  </w:t>
      </w:r>
    </w:p>
    <w:p w14:paraId="0E071CB5" w14:textId="77777777" w:rsidR="00EB4011" w:rsidRPr="00056082" w:rsidRDefault="00EB4011" w:rsidP="00EB4011">
      <w:pPr>
        <w:pStyle w:val="Head2"/>
        <w:rPr>
          <w:rFonts w:ascii="Times New Roman" w:hAnsi="Times New Roman" w:cs="Times New Roman"/>
          <w:b w:val="0"/>
          <w:bCs/>
          <w:sz w:val="20"/>
        </w:rPr>
      </w:pPr>
      <w:r w:rsidRPr="00056082">
        <w:rPr>
          <w:rFonts w:ascii="Times New Roman" w:hAnsi="Times New Roman" w:cs="Times New Roman"/>
          <w:b w:val="0"/>
          <w:bCs/>
          <w:sz w:val="20"/>
        </w:rPr>
        <w:t>-</w:t>
      </w:r>
      <w:r w:rsidRPr="00056082">
        <w:rPr>
          <w:rFonts w:ascii="Times New Roman" w:hAnsi="Times New Roman" w:cs="Times New Roman"/>
          <w:b w:val="0"/>
          <w:bCs/>
          <w:sz w:val="20"/>
        </w:rPr>
        <w:tab/>
        <w:t>45 remaining or 7560 trials</w:t>
      </w:r>
    </w:p>
    <w:p w14:paraId="41E50380" w14:textId="77777777" w:rsidR="00EB4011" w:rsidRPr="00056082" w:rsidRDefault="00EB4011" w:rsidP="00EB4011">
      <w:pPr>
        <w:pStyle w:val="Head2"/>
        <w:rPr>
          <w:rFonts w:ascii="Times New Roman" w:hAnsi="Times New Roman" w:cs="Times New Roman"/>
          <w:b w:val="0"/>
          <w:bCs/>
          <w:sz w:val="20"/>
        </w:rPr>
      </w:pPr>
      <w:r w:rsidRPr="00056082">
        <w:rPr>
          <w:rFonts w:ascii="Times New Roman" w:hAnsi="Times New Roman" w:cs="Times New Roman"/>
          <w:b w:val="0"/>
          <w:bCs/>
          <w:sz w:val="20"/>
        </w:rPr>
        <w:t>-</w:t>
      </w:r>
      <w:r w:rsidRPr="00056082">
        <w:rPr>
          <w:rFonts w:ascii="Times New Roman" w:hAnsi="Times New Roman" w:cs="Times New Roman"/>
          <w:b w:val="0"/>
          <w:bCs/>
          <w:sz w:val="20"/>
        </w:rPr>
        <w:tab/>
        <w:t xml:space="preserve">472 error trials were deleted -&gt; 7088 trials left </w:t>
      </w:r>
    </w:p>
    <w:p w14:paraId="09C424BD" w14:textId="77777777" w:rsidR="00EB4011" w:rsidRPr="00056082" w:rsidRDefault="00EB4011" w:rsidP="00EB4011">
      <w:pPr>
        <w:pStyle w:val="Head2"/>
        <w:rPr>
          <w:rFonts w:ascii="Times New Roman" w:hAnsi="Times New Roman" w:cs="Times New Roman"/>
          <w:b w:val="0"/>
          <w:bCs/>
          <w:sz w:val="20"/>
        </w:rPr>
      </w:pPr>
      <w:r w:rsidRPr="00056082">
        <w:rPr>
          <w:rFonts w:ascii="Times New Roman" w:hAnsi="Times New Roman" w:cs="Times New Roman"/>
          <w:b w:val="0"/>
          <w:bCs/>
          <w:sz w:val="20"/>
        </w:rPr>
        <w:t>-</w:t>
      </w:r>
      <w:r w:rsidRPr="00056082">
        <w:rPr>
          <w:rFonts w:ascii="Times New Roman" w:hAnsi="Times New Roman" w:cs="Times New Roman"/>
          <w:b w:val="0"/>
          <w:bCs/>
          <w:sz w:val="20"/>
        </w:rPr>
        <w:tab/>
        <w:t xml:space="preserve">After SPSS cutoffs </w:t>
      </w:r>
    </w:p>
    <w:p w14:paraId="44C214F7" w14:textId="77777777" w:rsidR="00EB4011" w:rsidRPr="00056082" w:rsidRDefault="00EB4011" w:rsidP="00EB4011">
      <w:pPr>
        <w:pStyle w:val="Head2"/>
        <w:rPr>
          <w:rFonts w:ascii="Times New Roman" w:hAnsi="Times New Roman" w:cs="Times New Roman"/>
          <w:b w:val="0"/>
          <w:bCs/>
          <w:sz w:val="20"/>
        </w:rPr>
      </w:pPr>
      <w:r w:rsidRPr="00056082">
        <w:rPr>
          <w:rFonts w:ascii="Times New Roman" w:hAnsi="Times New Roman" w:cs="Times New Roman"/>
          <w:b w:val="0"/>
          <w:bCs/>
          <w:sz w:val="20"/>
        </w:rPr>
        <w:t>-</w:t>
      </w:r>
      <w:r w:rsidRPr="00056082">
        <w:rPr>
          <w:rFonts w:ascii="Times New Roman" w:hAnsi="Times New Roman" w:cs="Times New Roman"/>
          <w:b w:val="0"/>
          <w:bCs/>
          <w:sz w:val="20"/>
        </w:rPr>
        <w:tab/>
        <w:t>Valid N</w:t>
      </w:r>
    </w:p>
    <w:p w14:paraId="64AB2B4F" w14:textId="77777777" w:rsidR="00EB4011" w:rsidRPr="00056082" w:rsidRDefault="00EB4011" w:rsidP="00EB4011">
      <w:pPr>
        <w:pStyle w:val="Head2"/>
        <w:rPr>
          <w:rFonts w:ascii="Times New Roman" w:hAnsi="Times New Roman" w:cs="Times New Roman"/>
          <w:b w:val="0"/>
          <w:bCs/>
          <w:sz w:val="20"/>
        </w:rPr>
      </w:pPr>
      <w:r w:rsidRPr="00056082">
        <w:rPr>
          <w:rFonts w:ascii="Times New Roman" w:hAnsi="Times New Roman" w:cs="Times New Roman"/>
          <w:b w:val="0"/>
          <w:bCs/>
          <w:sz w:val="20"/>
        </w:rPr>
        <w:tab/>
        <w:t>N=7088</w:t>
      </w:r>
    </w:p>
    <w:p w14:paraId="15A95EE7" w14:textId="77777777" w:rsidR="00EB4011" w:rsidRDefault="00EB4011" w:rsidP="00EB4011">
      <w:pPr>
        <w:pStyle w:val="Head2"/>
        <w:pBdr>
          <w:bottom w:val="double" w:sz="6" w:space="1" w:color="auto"/>
        </w:pBdr>
        <w:rPr>
          <w:rFonts w:ascii="Times New Roman" w:hAnsi="Times New Roman" w:cs="Times New Roman"/>
          <w:b w:val="0"/>
          <w:bCs/>
          <w:sz w:val="20"/>
        </w:rPr>
      </w:pPr>
      <w:r w:rsidRPr="00056082">
        <w:rPr>
          <w:rFonts w:ascii="Times New Roman" w:hAnsi="Times New Roman" w:cs="Times New Roman"/>
          <w:b w:val="0"/>
          <w:bCs/>
          <w:sz w:val="20"/>
        </w:rPr>
        <w:tab/>
        <w:t>N=6750</w:t>
      </w:r>
    </w:p>
    <w:p w14:paraId="1DAA784C" w14:textId="77777777" w:rsidR="00EB4011" w:rsidRPr="008D73BA" w:rsidRDefault="00EB4011" w:rsidP="00EB4011">
      <w:pPr>
        <w:pStyle w:val="Head2"/>
        <w:rPr>
          <w:rFonts w:ascii="Times New Roman" w:hAnsi="Times New Roman" w:cs="Times New Roman"/>
          <w:bCs/>
        </w:rPr>
      </w:pPr>
    </w:p>
    <w:tbl>
      <w:tblPr>
        <w:tblW w:w="1728"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4"/>
        <w:gridCol w:w="994"/>
      </w:tblGrid>
      <w:tr w:rsidR="00EB4011" w:rsidRPr="008D73BA" w14:paraId="639B3B01" w14:textId="77777777">
        <w:trPr>
          <w:cantSplit/>
        </w:trPr>
        <w:tc>
          <w:tcPr>
            <w:tcW w:w="734" w:type="dxa"/>
            <w:tcBorders>
              <w:top w:val="single" w:sz="16" w:space="0" w:color="000000"/>
              <w:left w:val="single" w:sz="16" w:space="0" w:color="000000"/>
              <w:bottom w:val="single" w:sz="16" w:space="0" w:color="000000"/>
              <w:right w:val="single" w:sz="16" w:space="0" w:color="000000"/>
            </w:tcBorders>
            <w:shd w:val="clear" w:color="auto" w:fill="FFFFFF"/>
          </w:tcPr>
          <w:p w14:paraId="2FD5ADD0" w14:textId="77777777" w:rsidR="00EB4011" w:rsidRPr="008D73BA" w:rsidRDefault="00EB4011" w:rsidP="008D73BA">
            <w:pPr>
              <w:pStyle w:val="Head2"/>
              <w:rPr>
                <w:rFonts w:ascii="Times New Roman" w:hAnsi="Times New Roman" w:cs="Times New Roman"/>
                <w:bCs/>
              </w:rPr>
            </w:pPr>
          </w:p>
        </w:tc>
        <w:tc>
          <w:tcPr>
            <w:tcW w:w="993" w:type="dxa"/>
            <w:tcBorders>
              <w:top w:val="single" w:sz="16" w:space="0" w:color="000000"/>
              <w:left w:val="single" w:sz="16" w:space="0" w:color="000000"/>
              <w:bottom w:val="single" w:sz="16" w:space="0" w:color="000000"/>
              <w:right w:val="single" w:sz="16" w:space="0" w:color="000000"/>
            </w:tcBorders>
            <w:shd w:val="clear" w:color="auto" w:fill="FFFFFF"/>
          </w:tcPr>
          <w:p w14:paraId="3379D2DD" w14:textId="77777777" w:rsidR="00EB4011" w:rsidRPr="008D73BA" w:rsidRDefault="00EB4011" w:rsidP="008D73BA">
            <w:pPr>
              <w:pStyle w:val="Head2"/>
              <w:rPr>
                <w:rFonts w:ascii="Times New Roman" w:hAnsi="Times New Roman" w:cs="Times New Roman"/>
                <w:bCs/>
              </w:rPr>
            </w:pPr>
            <w:r w:rsidRPr="008D73BA">
              <w:rPr>
                <w:rFonts w:ascii="Times New Roman" w:hAnsi="Times New Roman" w:cs="Times New Roman"/>
                <w:bCs/>
              </w:rPr>
              <w:t>Valid N</w:t>
            </w:r>
          </w:p>
        </w:tc>
      </w:tr>
      <w:tr w:rsidR="00EB4011" w:rsidRPr="008D73BA" w14:paraId="5AECC2F6" w14:textId="77777777">
        <w:trPr>
          <w:cantSplit/>
        </w:trPr>
        <w:tc>
          <w:tcPr>
            <w:tcW w:w="734" w:type="dxa"/>
            <w:tcBorders>
              <w:top w:val="single" w:sz="16" w:space="0" w:color="000000"/>
              <w:left w:val="single" w:sz="16" w:space="0" w:color="000000"/>
              <w:bottom w:val="nil"/>
              <w:right w:val="single" w:sz="16" w:space="0" w:color="000000"/>
            </w:tcBorders>
            <w:shd w:val="clear" w:color="auto" w:fill="FFFFFF"/>
            <w:vAlign w:val="center"/>
          </w:tcPr>
          <w:p w14:paraId="55338395" w14:textId="77777777" w:rsidR="00EB4011" w:rsidRPr="008D73BA" w:rsidRDefault="00EB4011" w:rsidP="008D73BA">
            <w:pPr>
              <w:pStyle w:val="Head2"/>
              <w:rPr>
                <w:rFonts w:ascii="Times New Roman" w:hAnsi="Times New Roman" w:cs="Times New Roman"/>
                <w:bCs/>
              </w:rPr>
            </w:pPr>
          </w:p>
        </w:tc>
        <w:tc>
          <w:tcPr>
            <w:tcW w:w="993" w:type="dxa"/>
            <w:tcBorders>
              <w:top w:val="single" w:sz="16" w:space="0" w:color="000000"/>
              <w:left w:val="single" w:sz="16" w:space="0" w:color="000000"/>
              <w:bottom w:val="nil"/>
              <w:right w:val="single" w:sz="16" w:space="0" w:color="000000"/>
            </w:tcBorders>
            <w:shd w:val="clear" w:color="auto" w:fill="FFFFFF"/>
          </w:tcPr>
          <w:p w14:paraId="344BCC63" w14:textId="77777777" w:rsidR="00EB4011" w:rsidRPr="008D73BA" w:rsidRDefault="00EB4011" w:rsidP="008D73BA">
            <w:pPr>
              <w:pStyle w:val="Head2"/>
              <w:rPr>
                <w:rFonts w:ascii="Times New Roman" w:hAnsi="Times New Roman" w:cs="Times New Roman"/>
                <w:bCs/>
              </w:rPr>
            </w:pPr>
            <w:r w:rsidRPr="008D73BA">
              <w:rPr>
                <w:rFonts w:ascii="Times New Roman" w:hAnsi="Times New Roman" w:cs="Times New Roman"/>
                <w:bCs/>
              </w:rPr>
              <w:t>N=</w:t>
            </w:r>
            <w:r>
              <w:rPr>
                <w:rFonts w:ascii="Times New Roman" w:hAnsi="Times New Roman" w:cs="Times New Roman"/>
                <w:bCs/>
                <w:noProof/>
              </w:rPr>
              <w:t>7560</w:t>
            </w:r>
          </w:p>
        </w:tc>
      </w:tr>
      <w:tr w:rsidR="00EB4011" w:rsidRPr="008D73BA" w14:paraId="39A32EB3" w14:textId="77777777">
        <w:trPr>
          <w:cantSplit/>
        </w:trPr>
        <w:tc>
          <w:tcPr>
            <w:tcW w:w="734" w:type="dxa"/>
            <w:tcBorders>
              <w:top w:val="nil"/>
              <w:left w:val="single" w:sz="16" w:space="0" w:color="000000"/>
              <w:bottom w:val="single" w:sz="16" w:space="0" w:color="000000"/>
              <w:right w:val="single" w:sz="16" w:space="0" w:color="000000"/>
            </w:tcBorders>
            <w:shd w:val="clear" w:color="auto" w:fill="FFFFFF"/>
            <w:vAlign w:val="center"/>
          </w:tcPr>
          <w:p w14:paraId="48003EC5" w14:textId="77777777" w:rsidR="00EB4011" w:rsidRPr="008D73BA" w:rsidRDefault="00EB4011" w:rsidP="008D73BA">
            <w:pPr>
              <w:pStyle w:val="Head2"/>
              <w:rPr>
                <w:rFonts w:ascii="Times New Roman" w:hAnsi="Times New Roman" w:cs="Times New Roman"/>
                <w:bCs/>
              </w:rPr>
            </w:pPr>
          </w:p>
        </w:tc>
        <w:tc>
          <w:tcPr>
            <w:tcW w:w="993" w:type="dxa"/>
            <w:tcBorders>
              <w:top w:val="nil"/>
              <w:left w:val="single" w:sz="16" w:space="0" w:color="000000"/>
              <w:bottom w:val="single" w:sz="16" w:space="0" w:color="000000"/>
              <w:right w:val="single" w:sz="16" w:space="0" w:color="000000"/>
            </w:tcBorders>
            <w:shd w:val="clear" w:color="auto" w:fill="FFFFFF"/>
          </w:tcPr>
          <w:p w14:paraId="4C74D884" w14:textId="77777777" w:rsidR="00EB4011" w:rsidRPr="008D73BA" w:rsidRDefault="00EB4011" w:rsidP="008D73BA">
            <w:pPr>
              <w:pStyle w:val="Head2"/>
              <w:rPr>
                <w:rFonts w:ascii="Times New Roman" w:hAnsi="Times New Roman" w:cs="Times New Roman"/>
                <w:bCs/>
              </w:rPr>
            </w:pPr>
            <w:r w:rsidRPr="008D73BA">
              <w:rPr>
                <w:rFonts w:ascii="Times New Roman" w:hAnsi="Times New Roman" w:cs="Times New Roman"/>
                <w:bCs/>
              </w:rPr>
              <w:t>N=</w:t>
            </w:r>
            <w:r>
              <w:rPr>
                <w:rFonts w:ascii="Times New Roman" w:hAnsi="Times New Roman" w:cs="Times New Roman"/>
                <w:bCs/>
                <w:noProof/>
              </w:rPr>
              <w:t>7255</w:t>
            </w:r>
          </w:p>
        </w:tc>
      </w:tr>
    </w:tbl>
    <w:p w14:paraId="44434E56" w14:textId="77777777" w:rsidR="00EB4011" w:rsidRPr="008D73BA" w:rsidRDefault="00EB4011" w:rsidP="00EB4011">
      <w:pPr>
        <w:pStyle w:val="Head2"/>
        <w:rPr>
          <w:rFonts w:ascii="Times New Roman" w:hAnsi="Times New Roman" w:cs="Times New Roman"/>
          <w:bCs/>
        </w:rPr>
      </w:pPr>
    </w:p>
    <w:p w14:paraId="652113C1" w14:textId="77777777" w:rsidR="00EB4011" w:rsidRPr="00056082" w:rsidRDefault="00EB4011" w:rsidP="00EB4011">
      <w:pPr>
        <w:pStyle w:val="Head2"/>
        <w:rPr>
          <w:rFonts w:ascii="Times New Roman" w:hAnsi="Times New Roman" w:cs="Times New Roman"/>
          <w:b w:val="0"/>
          <w:bCs/>
          <w:sz w:val="20"/>
        </w:rPr>
      </w:pPr>
    </w:p>
    <w:p w14:paraId="40FFBD23" w14:textId="77777777" w:rsidR="00EB4011" w:rsidRPr="00056082" w:rsidRDefault="00EB4011" w:rsidP="00EB4011">
      <w:pPr>
        <w:pStyle w:val="Head2"/>
        <w:rPr>
          <w:rFonts w:ascii="Times New Roman" w:hAnsi="Times New Roman" w:cs="Times New Roman"/>
          <w:b w:val="0"/>
          <w:bCs/>
          <w:sz w:val="20"/>
        </w:rPr>
      </w:pPr>
    </w:p>
    <w:p w14:paraId="2E07C261" w14:textId="77777777" w:rsidR="00EB4011" w:rsidRPr="00056082" w:rsidRDefault="00EB4011" w:rsidP="00EB4011">
      <w:pPr>
        <w:pStyle w:val="Head2"/>
        <w:rPr>
          <w:rFonts w:ascii="Times New Roman" w:hAnsi="Times New Roman" w:cs="Times New Roman"/>
          <w:b w:val="0"/>
          <w:bCs/>
          <w:sz w:val="20"/>
        </w:rPr>
      </w:pPr>
    </w:p>
    <w:p w14:paraId="7AB8D4D5" w14:textId="77777777" w:rsidR="00EB4011" w:rsidRPr="00056082" w:rsidRDefault="00EB4011" w:rsidP="00EB4011">
      <w:pPr>
        <w:pStyle w:val="Head2"/>
        <w:rPr>
          <w:rFonts w:ascii="Times New Roman" w:hAnsi="Times New Roman" w:cs="Times New Roman"/>
          <w:b w:val="0"/>
          <w:bCs/>
          <w:sz w:val="20"/>
        </w:rPr>
      </w:pPr>
    </w:p>
    <w:p w14:paraId="1FC9E82A" w14:textId="77777777" w:rsidR="00EB4011" w:rsidRPr="00056082" w:rsidRDefault="00EB4011" w:rsidP="00EB4011">
      <w:pPr>
        <w:pStyle w:val="Head2"/>
        <w:rPr>
          <w:rFonts w:ascii="Times New Roman" w:hAnsi="Times New Roman" w:cs="Times New Roman"/>
          <w:b w:val="0"/>
          <w:bCs/>
          <w:sz w:val="20"/>
        </w:rPr>
      </w:pPr>
      <w:r w:rsidRPr="00056082">
        <w:rPr>
          <w:rFonts w:ascii="Times New Roman" w:hAnsi="Times New Roman" w:cs="Times New Roman"/>
          <w:b w:val="0"/>
          <w:bCs/>
          <w:sz w:val="20"/>
        </w:rPr>
        <w:t>-</w:t>
      </w:r>
      <w:r w:rsidRPr="00056082">
        <w:rPr>
          <w:rFonts w:ascii="Times New Roman" w:hAnsi="Times New Roman" w:cs="Times New Roman"/>
          <w:b w:val="0"/>
          <w:bCs/>
          <w:sz w:val="20"/>
        </w:rPr>
        <w:tab/>
        <w:t>Question exclusion – 4 participants with &gt;75% identical responses (18,23,25,55)</w:t>
      </w:r>
    </w:p>
    <w:p w14:paraId="1FDC659B" w14:textId="77777777" w:rsidR="00EB4011" w:rsidRPr="00056082" w:rsidRDefault="00EB4011" w:rsidP="00EB4011">
      <w:pPr>
        <w:pStyle w:val="Head2"/>
        <w:rPr>
          <w:rFonts w:ascii="Times New Roman" w:hAnsi="Times New Roman" w:cs="Times New Roman"/>
          <w:b w:val="0"/>
          <w:bCs/>
          <w:sz w:val="20"/>
        </w:rPr>
      </w:pPr>
    </w:p>
    <w:p w14:paraId="6532B6AF" w14:textId="77777777" w:rsidR="00EB4011" w:rsidRPr="00056082" w:rsidRDefault="00EB4011" w:rsidP="00EB4011">
      <w:pPr>
        <w:pStyle w:val="Head2"/>
        <w:rPr>
          <w:rFonts w:ascii="Times New Roman" w:hAnsi="Times New Roman" w:cs="Times New Roman"/>
          <w:b w:val="0"/>
          <w:bCs/>
          <w:sz w:val="20"/>
        </w:rPr>
      </w:pPr>
      <w:r w:rsidRPr="00056082">
        <w:rPr>
          <w:rFonts w:ascii="Times New Roman" w:hAnsi="Times New Roman" w:cs="Times New Roman"/>
          <w:b w:val="0"/>
          <w:bCs/>
          <w:sz w:val="20"/>
        </w:rPr>
        <w:t>For q-s: Participants were excluded if they showed evidence of non-serious responding on the control questionnaire, defined as (a) straight-lining (&gt;75% identical responses).</w:t>
      </w:r>
    </w:p>
    <w:p w14:paraId="65974D6F" w14:textId="77777777" w:rsidR="00EB4011" w:rsidRPr="00056082" w:rsidRDefault="00EB4011" w:rsidP="00EB4011">
      <w:pPr>
        <w:pStyle w:val="Head2"/>
        <w:rPr>
          <w:rFonts w:ascii="Times New Roman" w:hAnsi="Times New Roman" w:cs="Times New Roman"/>
          <w:b w:val="0"/>
          <w:bCs/>
          <w:sz w:val="20"/>
        </w:rPr>
      </w:pPr>
    </w:p>
    <w:p w14:paraId="788290CF" w14:textId="77777777" w:rsidR="00EB4011" w:rsidRPr="00056082" w:rsidRDefault="00EB4011" w:rsidP="00EB4011">
      <w:pPr>
        <w:pStyle w:val="Head2"/>
        <w:rPr>
          <w:rFonts w:ascii="Times New Roman" w:hAnsi="Times New Roman" w:cs="Times New Roman"/>
          <w:b w:val="0"/>
          <w:bCs/>
          <w:sz w:val="20"/>
        </w:rPr>
      </w:pPr>
      <w:r w:rsidRPr="00056082">
        <w:rPr>
          <w:rFonts w:ascii="Times New Roman" w:hAnsi="Times New Roman" w:cs="Times New Roman"/>
          <w:b w:val="0"/>
          <w:bCs/>
          <w:sz w:val="20"/>
        </w:rPr>
        <w:t>“Participants were excluded based on predefined data-quality criteria. Specifically, we excluded participants who showed invariant responding across questionnaire items (i.e., zero variance), which is commonly interpreted as non-engaged or automated responding (Meade &amp; Craig, 2012). No exclusions were based on questionnaire content or experimental condition.”</w:t>
      </w:r>
    </w:p>
    <w:p w14:paraId="43FA4E35" w14:textId="77777777" w:rsidR="00EB4011" w:rsidRDefault="00EB401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FA4E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16102B" w16cex:dateUtc="2026-01-19T1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FA4E35" w16cid:durableId="631610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C0B40"/>
    <w:multiLevelType w:val="multilevel"/>
    <w:tmpl w:val="6EA2D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30234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oyan Zdravkov">
    <w15:presenceInfo w15:providerId="Windows Live" w15:userId="445d42b3a0f17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011"/>
    <w:rsid w:val="00197E0C"/>
    <w:rsid w:val="001E70C3"/>
    <w:rsid w:val="002D6A1F"/>
    <w:rsid w:val="003D4CF9"/>
    <w:rsid w:val="003F7C50"/>
    <w:rsid w:val="004E4C20"/>
    <w:rsid w:val="005C1FFE"/>
    <w:rsid w:val="0061743C"/>
    <w:rsid w:val="00E575E7"/>
    <w:rsid w:val="00EB4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755A3"/>
  <w15:chartTrackingRefBased/>
  <w15:docId w15:val="{74B9FEBB-631B-4353-B619-AFED5CF4D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E0C"/>
  </w:style>
  <w:style w:type="paragraph" w:styleId="Heading1">
    <w:name w:val="heading 1"/>
    <w:basedOn w:val="Normal"/>
    <w:next w:val="Normal"/>
    <w:link w:val="Heading1Char"/>
    <w:uiPriority w:val="9"/>
    <w:qFormat/>
    <w:rsid w:val="00EB40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40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401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401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401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401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401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401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401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MsWordTemplate">
    <w:name w:val="ACM's Word Template"/>
    <w:basedOn w:val="Normal"/>
    <w:link w:val="ACMsWordTemplateChar"/>
    <w:qFormat/>
    <w:rsid w:val="00197E0C"/>
    <w:pPr>
      <w:jc w:val="both"/>
    </w:pPr>
    <w:rPr>
      <w:rFonts w:ascii="Linux Libertine" w:hAnsi="Linux Libertine" w:cstheme="minorBidi"/>
      <w:sz w:val="14"/>
      <w:szCs w:val="22"/>
    </w:rPr>
  </w:style>
  <w:style w:type="character" w:customStyle="1" w:styleId="ACMsWordTemplateChar">
    <w:name w:val="ACM's Word Template Char"/>
    <w:basedOn w:val="DefaultParagraphFont"/>
    <w:link w:val="ACMsWordTemplate"/>
    <w:rsid w:val="00197E0C"/>
    <w:rPr>
      <w:rFonts w:ascii="Linux Libertine" w:hAnsi="Linux Libertine" w:cstheme="minorBidi"/>
      <w:sz w:val="14"/>
      <w:szCs w:val="22"/>
    </w:rPr>
  </w:style>
  <w:style w:type="character" w:customStyle="1" w:styleId="Heading1Char">
    <w:name w:val="Heading 1 Char"/>
    <w:basedOn w:val="DefaultParagraphFont"/>
    <w:link w:val="Heading1"/>
    <w:uiPriority w:val="9"/>
    <w:rsid w:val="00EB40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40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401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401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B401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B401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401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401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401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40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01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01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401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4011"/>
    <w:rPr>
      <w:i/>
      <w:iCs/>
      <w:color w:val="404040" w:themeColor="text1" w:themeTint="BF"/>
    </w:rPr>
  </w:style>
  <w:style w:type="paragraph" w:styleId="ListParagraph">
    <w:name w:val="List Paragraph"/>
    <w:basedOn w:val="Normal"/>
    <w:uiPriority w:val="34"/>
    <w:qFormat/>
    <w:rsid w:val="00EB4011"/>
    <w:pPr>
      <w:ind w:left="720"/>
      <w:contextualSpacing/>
    </w:pPr>
  </w:style>
  <w:style w:type="character" w:styleId="IntenseEmphasis">
    <w:name w:val="Intense Emphasis"/>
    <w:basedOn w:val="DefaultParagraphFont"/>
    <w:uiPriority w:val="21"/>
    <w:qFormat/>
    <w:rsid w:val="00EB4011"/>
    <w:rPr>
      <w:i/>
      <w:iCs/>
      <w:color w:val="2F5496" w:themeColor="accent1" w:themeShade="BF"/>
    </w:rPr>
  </w:style>
  <w:style w:type="paragraph" w:styleId="IntenseQuote">
    <w:name w:val="Intense Quote"/>
    <w:basedOn w:val="Normal"/>
    <w:next w:val="Normal"/>
    <w:link w:val="IntenseQuoteChar"/>
    <w:uiPriority w:val="30"/>
    <w:qFormat/>
    <w:rsid w:val="00EB4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011"/>
    <w:rPr>
      <w:i/>
      <w:iCs/>
      <w:color w:val="2F5496" w:themeColor="accent1" w:themeShade="BF"/>
    </w:rPr>
  </w:style>
  <w:style w:type="character" w:styleId="IntenseReference">
    <w:name w:val="Intense Reference"/>
    <w:basedOn w:val="DefaultParagraphFont"/>
    <w:uiPriority w:val="32"/>
    <w:qFormat/>
    <w:rsid w:val="00EB4011"/>
    <w:rPr>
      <w:b/>
      <w:bCs/>
      <w:smallCaps/>
      <w:color w:val="2F5496" w:themeColor="accent1" w:themeShade="BF"/>
      <w:spacing w:val="5"/>
    </w:rPr>
  </w:style>
  <w:style w:type="paragraph" w:customStyle="1" w:styleId="FigureCaption">
    <w:name w:val="FigureCaption"/>
    <w:link w:val="FigureCaptionChar"/>
    <w:autoRedefine/>
    <w:qFormat/>
    <w:rsid w:val="00EB4011"/>
    <w:pPr>
      <w:spacing w:before="220" w:after="240"/>
      <w:jc w:val="both"/>
    </w:pPr>
    <w:rPr>
      <w:rFonts w:ascii="Linux Libertine" w:hAnsi="Linux Libertine" w:cs="Linux Libertine"/>
      <w:b/>
      <w:kern w:val="0"/>
      <w:sz w:val="18"/>
      <w:szCs w:val="22"/>
      <w14:ligatures w14:val="none"/>
    </w:rPr>
  </w:style>
  <w:style w:type="character" w:customStyle="1" w:styleId="FigureCaptionChar">
    <w:name w:val="FigureCaption Char"/>
    <w:basedOn w:val="DefaultParagraphFont"/>
    <w:link w:val="FigureCaption"/>
    <w:rsid w:val="00EB4011"/>
    <w:rPr>
      <w:rFonts w:ascii="Linux Libertine" w:hAnsi="Linux Libertine" w:cs="Linux Libertine"/>
      <w:b/>
      <w:kern w:val="0"/>
      <w:sz w:val="18"/>
      <w:szCs w:val="22"/>
      <w14:ligatures w14:val="none"/>
    </w:rPr>
  </w:style>
  <w:style w:type="paragraph" w:styleId="Caption">
    <w:name w:val="caption"/>
    <w:basedOn w:val="Normal"/>
    <w:next w:val="Normal"/>
    <w:autoRedefine/>
    <w:uiPriority w:val="35"/>
    <w:unhideWhenUsed/>
    <w:qFormat/>
    <w:rsid w:val="00EB4011"/>
    <w:rPr>
      <w:rFonts w:ascii="Times New Roman" w:eastAsia="Times New Roman" w:hAnsi="Times New Roman" w:cs="Times New Roman"/>
      <w:b/>
      <w:bCs/>
      <w:color w:val="4472C4" w:themeColor="accent1"/>
      <w:kern w:val="0"/>
      <w:sz w:val="24"/>
      <w:szCs w:val="18"/>
      <w:lang w:val="it-IT" w:eastAsia="en-GB"/>
      <w14:ligatures w14:val="none"/>
    </w:rPr>
  </w:style>
  <w:style w:type="character" w:styleId="CommentReference">
    <w:name w:val="annotation reference"/>
    <w:basedOn w:val="DefaultParagraphFont"/>
    <w:uiPriority w:val="99"/>
    <w:semiHidden/>
    <w:unhideWhenUsed/>
    <w:rsid w:val="00EB4011"/>
    <w:rPr>
      <w:sz w:val="16"/>
      <w:szCs w:val="16"/>
    </w:rPr>
  </w:style>
  <w:style w:type="paragraph" w:styleId="CommentText">
    <w:name w:val="annotation text"/>
    <w:basedOn w:val="Normal"/>
    <w:link w:val="CommentTextChar"/>
    <w:uiPriority w:val="99"/>
    <w:semiHidden/>
    <w:unhideWhenUsed/>
    <w:rsid w:val="00EB4011"/>
  </w:style>
  <w:style w:type="character" w:customStyle="1" w:styleId="CommentTextChar">
    <w:name w:val="Comment Text Char"/>
    <w:basedOn w:val="DefaultParagraphFont"/>
    <w:link w:val="CommentText"/>
    <w:uiPriority w:val="99"/>
    <w:semiHidden/>
    <w:rsid w:val="00EB4011"/>
  </w:style>
  <w:style w:type="paragraph" w:customStyle="1" w:styleId="Head2">
    <w:name w:val="Head2"/>
    <w:autoRedefine/>
    <w:qFormat/>
    <w:rsid w:val="00EB4011"/>
    <w:pPr>
      <w:spacing w:before="180" w:after="80"/>
    </w:pPr>
    <w:rPr>
      <w:rFonts w:ascii="Linux Libertine" w:eastAsia="Times New Roman" w:hAnsi="Linux Libertine" w:cs="Linux Libertine"/>
      <w:b/>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tiff"/></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2282</Words>
  <Characters>13011</Characters>
  <Application>Microsoft Office Word</Application>
  <DocSecurity>0</DocSecurity>
  <Lines>108</Lines>
  <Paragraphs>30</Paragraphs>
  <ScaleCrop>false</ScaleCrop>
  <Company/>
  <LinksUpToDate>false</LinksUpToDate>
  <CharactersWithSpaces>15263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Kaloyan Zdravkov</dc:creator>
  <cp:keywords/>
  <dc:description/>
  <cp:lastModifiedBy>Kaloyan Zdravkov</cp:lastModifiedBy>
  <cp:revision>1</cp:revision>
  <dcterms:created xsi:type="dcterms:W3CDTF">2026-01-22T10:06:00Z</dcterms:created>
  <dcterms:modified xsi:type="dcterms:W3CDTF">2026-01-22T10:07:00Z</dcterms:modified>
</cp:coreProperties>
</file>