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1071568e3b7e41664a4cb5b9ea15384896def3"/>
    <w:p>
      <w:pPr>
        <w:pStyle w:val="Heading1"/>
      </w:pPr>
      <w:r>
        <w:t xml:space="preserve">Cross-Experiment Summary — Questionnaire (SoA Ratings) Results</w:t>
      </w:r>
    </w:p>
    <w:p>
      <w:pPr>
        <w:pStyle w:val="FirstParagraph"/>
      </w:pPr>
      <w:r>
        <w:t xml:space="preserve">All three experiments used the same questions to measure explicit SoA ratings. This gave us the opportunity to combine them and execute several statistical analyses to explore the role of motion (movement modality) and its influence on the explicit SoA ratings. Analyses are listed below.</w:t>
      </w:r>
    </w:p>
    <w:p>
      <w:pPr>
        <w:pStyle w:val="BodyText"/>
      </w:pPr>
      <w:r>
        <w:rPr>
          <w:b/>
          <w:bCs/>
        </w:rPr>
        <w:t xml:space="preserve">Descriptives</w:t>
      </w:r>
    </w:p>
    <w:p>
      <w:pPr>
        <w:pStyle w:val="BodyText"/>
      </w:pPr>
      <w:r>
        <w:t xml:space="preserve">Across all three experiments, ratings followed the same broad ordering: highest in the active conditions, lowest in the control condition, with the inconsistent condition falling somewhere in between. Overall, ratings were more spread out in Experiment 1 and numerically closer together across conditions and items (question types) in Experiments 2 and 3. Mean values are displayed in Table X. The three items did not always agree on their internal ordering, however — in Experiment 1, causation was rated highest overall, followed by prediction and then control; in Experiments 2 and 3, prediction was instead rated numerically highest, especially in the control condition, which pulled up its overall average, with causation and control close together at the bottom. Note that these are ratings collapsed across condition — the pattern varied considerably once condition is taken into account, as shown below.</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Condition</w:t>
            </w:r>
          </w:p>
        </w:tc>
        <w:tc>
          <w:tcPr/>
          <w:p>
            <w:pPr>
              <w:pStyle w:val="Compact"/>
              <w:jc w:val="center"/>
            </w:pPr>
            <w:r>
              <w:t xml:space="preserve">Experiment 1 (M ± SD)</w:t>
            </w:r>
          </w:p>
        </w:tc>
        <w:tc>
          <w:tcPr/>
          <w:p>
            <w:pPr>
              <w:pStyle w:val="Compact"/>
              <w:jc w:val="center"/>
            </w:pPr>
            <w:r>
              <w:t xml:space="preserve">Experiment 2 (M ± SD)</w:t>
            </w:r>
          </w:p>
        </w:tc>
        <w:tc>
          <w:tcPr/>
          <w:p>
            <w:pPr>
              <w:pStyle w:val="Compact"/>
              <w:jc w:val="center"/>
            </w:pPr>
            <w:r>
              <w:t xml:space="preserve">Experiment 3 (M ± SD)</w:t>
            </w:r>
          </w:p>
        </w:tc>
      </w:tr>
      <w:tr>
        <w:tc>
          <w:tcPr/>
          <w:p>
            <w:pPr>
              <w:pStyle w:val="Compact"/>
              <w:jc w:val="left"/>
            </w:pPr>
            <w:r>
              <w:t xml:space="preserve">Consistent</w:t>
            </w:r>
          </w:p>
        </w:tc>
        <w:tc>
          <w:tcPr/>
          <w:p>
            <w:pPr>
              <w:pStyle w:val="Compact"/>
              <w:jc w:val="center"/>
            </w:pPr>
            <w:r>
              <w:t xml:space="preserve">4.98 ± 1.18</w:t>
            </w:r>
          </w:p>
        </w:tc>
        <w:tc>
          <w:tcPr/>
          <w:p>
            <w:pPr>
              <w:pStyle w:val="Compact"/>
              <w:jc w:val="center"/>
            </w:pPr>
            <w:r>
              <w:t xml:space="preserve">3.63 ± 1.00</w:t>
            </w:r>
          </w:p>
        </w:tc>
        <w:tc>
          <w:tcPr/>
          <w:p>
            <w:pPr>
              <w:pStyle w:val="Compact"/>
              <w:jc w:val="center"/>
            </w:pPr>
            <w:r>
              <w:t xml:space="preserve">3.59 ± 1.38</w:t>
            </w:r>
          </w:p>
        </w:tc>
      </w:tr>
      <w:tr>
        <w:tc>
          <w:tcPr/>
          <w:p>
            <w:pPr>
              <w:pStyle w:val="Compact"/>
              <w:jc w:val="left"/>
            </w:pPr>
            <w:r>
              <w:t xml:space="preserve">Inconsistent</w:t>
            </w:r>
          </w:p>
        </w:tc>
        <w:tc>
          <w:tcPr/>
          <w:p>
            <w:pPr>
              <w:pStyle w:val="Compact"/>
              <w:jc w:val="center"/>
            </w:pPr>
            <w:r>
              <w:t xml:space="preserve">3.20 ± 1.16</w:t>
            </w:r>
          </w:p>
        </w:tc>
        <w:tc>
          <w:tcPr/>
          <w:p>
            <w:pPr>
              <w:pStyle w:val="Compact"/>
              <w:jc w:val="center"/>
            </w:pPr>
            <w:r>
              <w:t xml:space="preserve">3.41 ± 0.89</w:t>
            </w:r>
          </w:p>
        </w:tc>
        <w:tc>
          <w:tcPr/>
          <w:p>
            <w:pPr>
              <w:pStyle w:val="Compact"/>
              <w:jc w:val="center"/>
            </w:pPr>
            <w:r>
              <w:t xml:space="preserve">3.01 ± 0.92</w:t>
            </w:r>
          </w:p>
        </w:tc>
      </w:tr>
      <w:tr>
        <w:tc>
          <w:tcPr/>
          <w:p>
            <w:pPr>
              <w:pStyle w:val="Compact"/>
              <w:jc w:val="left"/>
            </w:pPr>
            <w:r>
              <w:t xml:space="preserve">Control</w:t>
            </w:r>
          </w:p>
        </w:tc>
        <w:tc>
          <w:tcPr/>
          <w:p>
            <w:pPr>
              <w:pStyle w:val="Compact"/>
              <w:jc w:val="center"/>
            </w:pPr>
            <w:r>
              <w:t xml:space="preserve">1.95 ± 0.90</w:t>
            </w:r>
          </w:p>
        </w:tc>
        <w:tc>
          <w:tcPr/>
          <w:p>
            <w:pPr>
              <w:pStyle w:val="Compact"/>
              <w:jc w:val="center"/>
            </w:pPr>
            <w:r>
              <w:t xml:space="preserve">2.49 ± 1.02</w:t>
            </w:r>
          </w:p>
        </w:tc>
        <w:tc>
          <w:tcPr/>
          <w:p>
            <w:pPr>
              <w:pStyle w:val="Compact"/>
              <w:jc w:val="center"/>
            </w:pPr>
            <w:r>
              <w:t xml:space="preserve">2.39 ± 1.15</w:t>
            </w:r>
          </w:p>
        </w:tc>
      </w:tr>
    </w:tbl>
    <w:p>
      <w:pPr>
        <w:pStyle w:val="BodyText"/>
      </w:pPr>
      <w:r>
        <w:t xml:space="preserve">Table X. Mean overall SoA ratings (collapsed across question type) per condition, by experiment.</w:t>
      </w:r>
    </w:p>
    <w:p>
      <w:pPr>
        <w:pStyle w:val="BodyText"/>
      </w:pPr>
      <w:r>
        <w:rPr>
          <w:b/>
          <w:bCs/>
        </w:rPr>
        <w:t xml:space="preserve">Analyses</w:t>
      </w:r>
    </w:p>
    <w:p>
      <w:pPr>
        <w:pStyle w:val="BodyText"/>
      </w:pPr>
      <w:r>
        <w:t xml:space="preserve">Three separate sets of analyses are reported below, matching how the questionnaire data can be legitimately combined across experiments: (1) a single repeated-measures ANOVA on the three-item</w:t>
      </w:r>
      <w:r>
        <w:t xml:space="preserve"> </w:t>
      </w:r>
      <w:r>
        <w:rPr>
          <w:b/>
          <w:bCs/>
        </w:rPr>
        <w:t xml:space="preserve">composite</w:t>
      </w:r>
      <w:r>
        <w:t xml:space="preserve"> </w:t>
      </w:r>
      <w:r>
        <w:t xml:space="preserve">score, with Experiment as a between-subjects factor; (2) three separate ANOVAs, one</w:t>
      </w:r>
      <w:r>
        <w:t xml:space="preserve"> </w:t>
      </w:r>
      <w:r>
        <w:rPr>
          <w:b/>
          <w:bCs/>
        </w:rPr>
        <w:t xml:space="preserve">per action condition</w:t>
      </w:r>
      <w:r>
        <w:t xml:space="preserve">, testing Question type × Experiment within each condition; and (3) three separate ANOVAs, one</w:t>
      </w:r>
      <w:r>
        <w:t xml:space="preserve"> </w:t>
      </w:r>
      <w:r>
        <w:rPr>
          <w:b/>
          <w:bCs/>
        </w:rPr>
        <w:t xml:space="preserve">per question type</w:t>
      </w:r>
      <w:r>
        <w:t xml:space="preserve">, testing Action Consistency × Experiment within each item.</w:t>
      </w:r>
      <w:r>
        <w:t xml:space="preserve"> </w:t>
      </w:r>
      <w:r>
        <w:t xml:space="preserve">[G*Power analysis to be added. + Armina, Help this is messy report]</w:t>
      </w:r>
    </w:p>
    <w:p>
      <w:pPr>
        <w:pStyle w:val="BodyText"/>
      </w:pPr>
      <w:r>
        <w:rPr>
          <w:b/>
          <w:bCs/>
        </w:rPr>
        <w:t xml:space="preserve">Composite score.</w:t>
      </w:r>
      <w:r>
        <w:t xml:space="preserve"> </w:t>
      </w:r>
      <w:r>
        <w:t xml:space="preserve">The three items (caused, controlled, predicted) were averaged into one composite score per condition, and this composite was submitted to a repeated-measures ANOVA with Action Consistency (consistent, inconsistent, control) as a within-subject factor and Experiment as a between-subjects factor (</w:t>
      </w:r>
      <w:r>
        <w:rPr>
          <w:i/>
          <w:iCs/>
        </w:rPr>
        <w:t xml:space="preserve">N</w:t>
      </w:r>
      <w:r>
        <w:t xml:space="preserve"> </w:t>
      </w:r>
      <w:r>
        <w:t xml:space="preserve">= 138), Greenhouse–Geisser corrected throughout.</w:t>
      </w:r>
    </w:p>
    <w:p>
      <w:pPr>
        <w:pStyle w:val="BodyText"/>
      </w:pPr>
      <w:r>
        <w:t xml:space="preserve">The main effect of Action Consistency was significant,</w:t>
      </w:r>
      <w:r>
        <w:t xml:space="preserve"> </w:t>
      </w:r>
      <w:r>
        <w:rPr>
          <w:i/>
          <w:iCs/>
        </w:rPr>
        <w:t xml:space="preserve">F</w:t>
      </w:r>
      <w:r>
        <w:t xml:space="preserve">(1.87, 252.99) = 145.15,</w:t>
      </w:r>
      <w:r>
        <w:t xml:space="preserve"> </w:t>
      </w:r>
      <w:r>
        <w:rPr>
          <w:i/>
          <w:iCs/>
        </w:rPr>
        <w:t xml:space="preserve">p</w:t>
      </w:r>
      <w:r>
        <w:t xml:space="preserve"> </w:t>
      </w:r>
      <w:r>
        <w:t xml:space="preserve">&lt; .001, η²ₚ = .518. Bonferroni-corrected post hoc comparisons confirmed full separation between all three conditions, collapsed across experiment: consistent rated higher than inconsistent (</w:t>
      </w:r>
      <w:r>
        <w:rPr>
          <w:i/>
          <w:iCs/>
        </w:rPr>
        <w:t xml:space="preserve">p</w:t>
      </w:r>
      <w:r>
        <w:t xml:space="preserve"> </w:t>
      </w:r>
      <w:r>
        <w:t xml:space="preserve">&lt; .001), consistent higher than control (</w:t>
      </w:r>
      <w:r>
        <w:rPr>
          <w:i/>
          <w:iCs/>
        </w:rPr>
        <w:t xml:space="preserve">p</w:t>
      </w:r>
      <w:r>
        <w:t xml:space="preserve"> </w:t>
      </w:r>
      <w:r>
        <w:t xml:space="preserve">&lt; .001), and inconsistent higher than control (</w:t>
      </w:r>
      <w:r>
        <w:rPr>
          <w:i/>
          <w:iCs/>
        </w:rPr>
        <w:t xml:space="preserve">p</w:t>
      </w:r>
      <w:r>
        <w:t xml:space="preserve"> </w:t>
      </w:r>
      <w:r>
        <w:t xml:space="preserve">&lt; .001) — the expected consistent &gt; inconsistent &gt; control ordering held throughout.</w:t>
      </w:r>
    </w:p>
    <w:p>
      <w:pPr>
        <w:pStyle w:val="BodyText"/>
      </w:pPr>
      <w:r>
        <w:t xml:space="preserve">The between-subjects main effect of Experiment was not significant,</w:t>
      </w:r>
      <w:r>
        <w:t xml:space="preserve"> </w:t>
      </w:r>
      <w:r>
        <w:rPr>
          <w:i/>
          <w:iCs/>
        </w:rPr>
        <w:t xml:space="preserve">F</w:t>
      </w:r>
      <w:r>
        <w:t xml:space="preserve">(2, 135) = 2.41,</w:t>
      </w:r>
      <w:r>
        <w:t xml:space="preserve"> </w:t>
      </w:r>
      <w:r>
        <w:rPr>
          <w:i/>
          <w:iCs/>
        </w:rPr>
        <w:t xml:space="preserve">p</w:t>
      </w:r>
      <w:r>
        <w:t xml:space="preserve"> </w:t>
      </w:r>
      <w:r>
        <w:t xml:space="preserve">= .093: overall composite rating level, collapsed across condition, did not differ by experiment. However, the Action Consistency × Experiment interaction was significant,</w:t>
      </w:r>
      <w:r>
        <w:t xml:space="preserve"> </w:t>
      </w:r>
      <w:r>
        <w:rPr>
          <w:i/>
          <w:iCs/>
        </w:rPr>
        <w:t xml:space="preserve">F</w:t>
      </w:r>
      <w:r>
        <w:t xml:space="preserve">(3.75, 252.99) = 18.26,</w:t>
      </w:r>
      <w:r>
        <w:t xml:space="preserve"> </w:t>
      </w:r>
      <w:r>
        <w:rPr>
          <w:i/>
          <w:iCs/>
        </w:rPr>
        <w:t xml:space="preserve">p</w:t>
      </w:r>
      <w:r>
        <w:t xml:space="preserve"> </w:t>
      </w:r>
      <w:r>
        <w:t xml:space="preserve">&lt; .001, η²ₚ = .213. The follow-up post hoc, conditioned on Action Consistency, localized this interaction to the</w:t>
      </w:r>
      <w:r>
        <w:t xml:space="preserve"> </w:t>
      </w:r>
      <w:r>
        <w:rPr>
          <w:b/>
          <w:bCs/>
        </w:rPr>
        <w:t xml:space="preserve">consistent</w:t>
      </w:r>
      <w:r>
        <w:t xml:space="preserve"> </w:t>
      </w:r>
      <w:r>
        <w:t xml:space="preserve">condition: Experiment 1 was rated significantly higher than both Experiment 2 (</w:t>
      </w:r>
      <w:r>
        <w:rPr>
          <w:i/>
          <w:iCs/>
        </w:rPr>
        <w:t xml:space="preserve">p</w:t>
      </w:r>
      <w:r>
        <w:t xml:space="preserve"> </w:t>
      </w:r>
      <w:r>
        <w:t xml:space="preserve">&lt; .001) and Experiment 3 (</w:t>
      </w:r>
      <w:r>
        <w:rPr>
          <w:i/>
          <w:iCs/>
        </w:rPr>
        <w:t xml:space="preserve">p</w:t>
      </w:r>
      <w:r>
        <w:t xml:space="preserve"> </w:t>
      </w:r>
      <w:r>
        <w:t xml:space="preserve">&lt; .001), which did not differ from each other (</w:t>
      </w:r>
      <w:r>
        <w:rPr>
          <w:i/>
          <w:iCs/>
        </w:rPr>
        <w:t xml:space="preserve">p</w:t>
      </w:r>
      <w:r>
        <w:t xml:space="preserve"> </w:t>
      </w:r>
      <w:r>
        <w:t xml:space="preserve">= 1.000). No experiment differences were found in the inconsistent condition (all</w:t>
      </w:r>
      <w:r>
        <w:t xml:space="preserve"> </w:t>
      </w:r>
      <w:r>
        <w:rPr>
          <w:i/>
          <w:iCs/>
        </w:rPr>
        <w:t xml:space="preserve">p</w:t>
      </w:r>
      <w:r>
        <w:t xml:space="preserve"> </w:t>
      </w:r>
      <w:r>
        <w:t xml:space="preserve">≥ .154). In the control condition, no comparison reached significance, though Experiment 1 vs. Experiment 2 approached it (</w:t>
      </w:r>
      <w:r>
        <w:rPr>
          <w:i/>
          <w:iCs/>
        </w:rPr>
        <w:t xml:space="preserve">p</w:t>
      </w:r>
      <w:r>
        <w:t xml:space="preserve"> </w:t>
      </w:r>
      <w:r>
        <w:t xml:space="preserve">= .051, Experiment 2 rated higher).</w:t>
      </w:r>
    </w:p>
    <w:p>
      <w:pPr>
        <w:pStyle w:val="BodyText"/>
      </w:pPr>
      <w:r>
        <w:t xml:space="preserve">These results indicate that, to the extent response modality shaped the composite ratings at all, it did so specifically in the consistent condition. However, the composite collapses the three items into one number, and — as the between-experiment table above already shows — the items varied considerably in their own ordering and sensitivity across experiments and conditions. The following two sets of analyses unpack this at the item level.</w:t>
      </w:r>
    </w:p>
    <w:p>
      <w:pPr>
        <w:pStyle w:val="BodyText"/>
      </w:pPr>
      <w:r>
        <w:rPr>
          <w:b/>
          <w:bCs/>
        </w:rPr>
        <w:t xml:space="preserve">Item differences within each condition.</w:t>
      </w:r>
      <w:r>
        <w:t xml:space="preserve"> </w:t>
      </w:r>
      <w:r>
        <w:t xml:space="preserve">To test whether movement modality affected specific questionnaire items, three separate repeated-measures ANOVAs were run, one per action condition, each with Question type (caused, controlled, predicted) as a within-subject factor and Experiment as a between-subjects factor, Greenhouse–Geisser corrected.</w:t>
      </w:r>
    </w:p>
    <w:p>
      <w:pPr>
        <w:pStyle w:val="BodyText"/>
      </w:pPr>
      <w:r>
        <w:rPr>
          <w:i/>
          <w:iCs/>
        </w:rPr>
        <w:t xml:space="preserve">Consistent condition.</w:t>
      </w:r>
      <w:r>
        <w:t xml:space="preserve"> </w:t>
      </w:r>
      <w:r>
        <w:t xml:space="preserve">Both Question type,</w:t>
      </w:r>
      <w:r>
        <w:t xml:space="preserve"> </w:t>
      </w:r>
      <w:r>
        <w:rPr>
          <w:i/>
          <w:iCs/>
        </w:rPr>
        <w:t xml:space="preserve">F</w:t>
      </w:r>
      <w:r>
        <w:t xml:space="preserve">(1.76, 238.21) = 11.76,</w:t>
      </w:r>
      <w:r>
        <w:t xml:space="preserve"> </w:t>
      </w:r>
      <w:r>
        <w:rPr>
          <w:i/>
          <w:iCs/>
        </w:rPr>
        <w:t xml:space="preserve">p</w:t>
      </w:r>
      <w:r>
        <w:t xml:space="preserve"> </w:t>
      </w:r>
      <w:r>
        <w:t xml:space="preserve">&lt; .001, η²ₚ = .080, and Experiment,</w:t>
      </w:r>
      <w:r>
        <w:t xml:space="preserve"> </w:t>
      </w:r>
      <w:r>
        <w:rPr>
          <w:i/>
          <w:iCs/>
        </w:rPr>
        <w:t xml:space="preserve">F</w:t>
      </w:r>
      <w:r>
        <w:t xml:space="preserve">(2, 135) = 18.72,</w:t>
      </w:r>
      <w:r>
        <w:t xml:space="preserve"> </w:t>
      </w:r>
      <w:r>
        <w:rPr>
          <w:i/>
          <w:iCs/>
        </w:rPr>
        <w:t xml:space="preserve">p</w:t>
      </w:r>
      <w:r>
        <w:t xml:space="preserve"> </w:t>
      </w:r>
      <w:r>
        <w:t xml:space="preserve">&lt; .001, reached significance, as did their interaction,</w:t>
      </w:r>
      <w:r>
        <w:t xml:space="preserve"> </w:t>
      </w:r>
      <w:r>
        <w:rPr>
          <w:i/>
          <w:iCs/>
        </w:rPr>
        <w:t xml:space="preserve">F</w:t>
      </w:r>
      <w:r>
        <w:t xml:space="preserve">(3.53, 238.21) = 4.60,</w:t>
      </w:r>
      <w:r>
        <w:t xml:space="preserve"> </w:t>
      </w:r>
      <w:r>
        <w:rPr>
          <w:i/>
          <w:iCs/>
        </w:rPr>
        <w:t xml:space="preserve">p</w:t>
      </w:r>
      <w:r>
        <w:t xml:space="preserve"> </w:t>
      </w:r>
      <w:r>
        <w:t xml:space="preserve">= .002, η²ₚ = .064. The follow-up post hoc showed that all three items were rated significantly higher in Experiment 1 than in both Experiment 2 and Experiment 3 (caused:</w:t>
      </w:r>
      <w:r>
        <w:t xml:space="preserve"> </w:t>
      </w:r>
      <w:r>
        <w:rPr>
          <w:i/>
          <w:iCs/>
        </w:rPr>
        <w:t xml:space="preserve">p</w:t>
      </w:r>
      <w:r>
        <w:t xml:space="preserve"> </w:t>
      </w:r>
      <w:r>
        <w:t xml:space="preserve">&lt; .001 for both; controlled:</w:t>
      </w:r>
      <w:r>
        <w:t xml:space="preserve"> </w:t>
      </w:r>
      <w:r>
        <w:rPr>
          <w:i/>
          <w:iCs/>
        </w:rPr>
        <w:t xml:space="preserve">p</w:t>
      </w:r>
      <w:r>
        <w:t xml:space="preserve"> </w:t>
      </w:r>
      <w:r>
        <w:t xml:space="preserve">= .005 and</w:t>
      </w:r>
      <w:r>
        <w:t xml:space="preserve"> </w:t>
      </w:r>
      <w:r>
        <w:rPr>
          <w:i/>
          <w:iCs/>
        </w:rPr>
        <w:t xml:space="preserve">p</w:t>
      </w:r>
      <w:r>
        <w:t xml:space="preserve"> </w:t>
      </w:r>
      <w:r>
        <w:t xml:space="preserve">= .041; predicted:</w:t>
      </w:r>
      <w:r>
        <w:t xml:space="preserve"> </w:t>
      </w:r>
      <w:r>
        <w:rPr>
          <w:i/>
          <w:iCs/>
        </w:rPr>
        <w:t xml:space="preserve">p</w:t>
      </w:r>
      <w:r>
        <w:t xml:space="preserve"> </w:t>
      </w:r>
      <w:r>
        <w:t xml:space="preserve">&lt; .001 for both), while Experiments 2 and 3 never differed from each other (all</w:t>
      </w:r>
      <w:r>
        <w:t xml:space="preserve"> </w:t>
      </w:r>
      <w:r>
        <w:rPr>
          <w:i/>
          <w:iCs/>
        </w:rPr>
        <w:t xml:space="preserve">p</w:t>
      </w:r>
      <w:r>
        <w:t xml:space="preserve"> </w:t>
      </w:r>
      <w:r>
        <w:t xml:space="preserve">≥ .894). In other words, the results from the previous ANOVA analysis were reproduced again — in the consistent condition, participants in Experiment 1 — the lowest-movement modality — reported generally higher ratings across all three items.</w:t>
      </w:r>
    </w:p>
    <w:p>
      <w:pPr>
        <w:pStyle w:val="BodyText"/>
      </w:pPr>
      <w:r>
        <w:rPr>
          <w:i/>
          <w:iCs/>
        </w:rPr>
        <w:t xml:space="preserve">Inconsistent condition.</w:t>
      </w:r>
      <w:r>
        <w:t xml:space="preserve"> </w:t>
      </w:r>
      <w:r>
        <w:t xml:space="preserve">Here the pattern differed. The Experiment main effect was not significant,</w:t>
      </w:r>
      <w:r>
        <w:t xml:space="preserve"> </w:t>
      </w:r>
      <w:r>
        <w:rPr>
          <w:i/>
          <w:iCs/>
        </w:rPr>
        <w:t xml:space="preserve">F</w:t>
      </w:r>
      <w:r>
        <w:t xml:space="preserve">(2, 135) = 1.94,</w:t>
      </w:r>
      <w:r>
        <w:t xml:space="preserve"> </w:t>
      </w:r>
      <w:r>
        <w:rPr>
          <w:i/>
          <w:iCs/>
        </w:rPr>
        <w:t xml:space="preserve">p</w:t>
      </w:r>
      <w:r>
        <w:t xml:space="preserve"> </w:t>
      </w:r>
      <w:r>
        <w:t xml:space="preserve">= .148, but Question type,</w:t>
      </w:r>
      <w:r>
        <w:t xml:space="preserve"> </w:t>
      </w:r>
      <w:r>
        <w:rPr>
          <w:i/>
          <w:iCs/>
        </w:rPr>
        <w:t xml:space="preserve">F</w:t>
      </w:r>
      <w:r>
        <w:t xml:space="preserve">(1.54, 207.59) = 25.93,</w:t>
      </w:r>
      <w:r>
        <w:t xml:space="preserve"> </w:t>
      </w:r>
      <w:r>
        <w:rPr>
          <w:i/>
          <w:iCs/>
        </w:rPr>
        <w:t xml:space="preserve">p</w:t>
      </w:r>
      <w:r>
        <w:t xml:space="preserve"> </w:t>
      </w:r>
      <w:r>
        <w:t xml:space="preserve">&lt; .001, η²ₚ = .161, and the interaction,</w:t>
      </w:r>
      <w:r>
        <w:t xml:space="preserve"> </w:t>
      </w:r>
      <w:r>
        <w:rPr>
          <w:i/>
          <w:iCs/>
        </w:rPr>
        <w:t xml:space="preserve">F</w:t>
      </w:r>
      <w:r>
        <w:t xml:space="preserve">(3.08, 207.59) = 9.66,</w:t>
      </w:r>
      <w:r>
        <w:t xml:space="preserve"> </w:t>
      </w:r>
      <w:r>
        <w:rPr>
          <w:i/>
          <w:iCs/>
        </w:rPr>
        <w:t xml:space="preserve">p</w:t>
      </w:r>
      <w:r>
        <w:t xml:space="preserve"> </w:t>
      </w:r>
      <w:r>
        <w:t xml:space="preserve">&lt; .001, η²ₚ = .125, both were. Collapsed across item, no experiment pairwise comparison reached significance (all</w:t>
      </w:r>
      <w:r>
        <w:t xml:space="preserve"> </w:t>
      </w:r>
      <w:r>
        <w:rPr>
          <w:i/>
          <w:iCs/>
        </w:rPr>
        <w:t xml:space="preserve">p</w:t>
      </w:r>
      <w:r>
        <w:t xml:space="preserve"> </w:t>
      </w:r>
      <w:r>
        <w:t xml:space="preserve">≥ .154), confirming the non-significant main effect. Conditioned on item, however, a more specific pattern emerged: causation differed between Experiment 1 and Experiment 3 (</w:t>
      </w:r>
      <w:r>
        <w:rPr>
          <w:i/>
          <w:iCs/>
        </w:rPr>
        <w:t xml:space="preserve">p</w:t>
      </w:r>
      <w:r>
        <w:t xml:space="preserve"> </w:t>
      </w:r>
      <w:r>
        <w:t xml:space="preserve">&lt; .001), with Experiment 1 rated higher; controlled and predicted instead differed between Experiment 1 and Experiment 2 (</w:t>
      </w:r>
      <w:r>
        <w:rPr>
          <w:i/>
          <w:iCs/>
        </w:rPr>
        <w:t xml:space="preserve">p</w:t>
      </w:r>
      <w:r>
        <w:t xml:space="preserve"> </w:t>
      </w:r>
      <w:r>
        <w:t xml:space="preserve">= .043 and</w:t>
      </w:r>
      <w:r>
        <w:t xml:space="preserve"> </w:t>
      </w:r>
      <w:r>
        <w:rPr>
          <w:i/>
          <w:iCs/>
        </w:rPr>
        <w:t xml:space="preserve">p</w:t>
      </w:r>
      <w:r>
        <w:t xml:space="preserve"> </w:t>
      </w:r>
      <w:r>
        <w:t xml:space="preserve">= .026, respectively), both rated higher in Experiment 2. In other words, in the inconsistent condition — where a prediction error is present — participants rated their sense of causation higher in Experiment 1 (less movement), but their sense of control and prediction higher in Experiment 2 (greater movement than Experiment 1).</w:t>
      </w:r>
    </w:p>
    <w:p>
      <w:pPr>
        <w:pStyle w:val="BodyText"/>
      </w:pPr>
      <w:r>
        <w:rPr>
          <w:i/>
          <w:iCs/>
        </w:rPr>
        <w:t xml:space="preserve">Control condition.</w:t>
      </w:r>
      <w:r>
        <w:t xml:space="preserve"> </w:t>
      </w:r>
      <w:r>
        <w:t xml:space="preserve">Question type was significant,</w:t>
      </w:r>
      <w:r>
        <w:t xml:space="preserve"> </w:t>
      </w:r>
      <w:r>
        <w:rPr>
          <w:i/>
          <w:iCs/>
        </w:rPr>
        <w:t xml:space="preserve">F</w:t>
      </w:r>
      <w:r>
        <w:t xml:space="preserve">(1.68, 226.13) = 44.80,</w:t>
      </w:r>
      <w:r>
        <w:t xml:space="preserve"> </w:t>
      </w:r>
      <w:r>
        <w:rPr>
          <w:i/>
          <w:iCs/>
        </w:rPr>
        <w:t xml:space="preserve">p</w:t>
      </w:r>
      <w:r>
        <w:t xml:space="preserve"> </w:t>
      </w:r>
      <w:r>
        <w:t xml:space="preserve">&lt; .001, η²ₚ = .249, as was the Experiment main effect,</w:t>
      </w:r>
      <w:r>
        <w:t xml:space="preserve"> </w:t>
      </w:r>
      <w:r>
        <w:rPr>
          <w:i/>
          <w:iCs/>
        </w:rPr>
        <w:t xml:space="preserve">F</w:t>
      </w:r>
      <w:r>
        <w:t xml:space="preserve">(2, 135) = 3.27,</w:t>
      </w:r>
      <w:r>
        <w:t xml:space="preserve"> </w:t>
      </w:r>
      <w:r>
        <w:rPr>
          <w:i/>
          <w:iCs/>
        </w:rPr>
        <w:t xml:space="preserve">p</w:t>
      </w:r>
      <w:r>
        <w:t xml:space="preserve"> </w:t>
      </w:r>
      <w:r>
        <w:t xml:space="preserve">= .041 — though no single pairwise comparison of Experiment survived correction (Experiment 1 vs. Experiment 2 came closest,</w:t>
      </w:r>
      <w:r>
        <w:t xml:space="preserve"> </w:t>
      </w:r>
      <w:r>
        <w:rPr>
          <w:i/>
          <w:iCs/>
        </w:rPr>
        <w:t xml:space="preserve">p</w:t>
      </w:r>
      <w:r>
        <w:t xml:space="preserve"> </w:t>
      </w:r>
      <w:r>
        <w:t xml:space="preserve">= .051). The interaction itself was not significant,</w:t>
      </w:r>
      <w:r>
        <w:t xml:space="preserve"> </w:t>
      </w:r>
      <w:r>
        <w:rPr>
          <w:i/>
          <w:iCs/>
        </w:rPr>
        <w:t xml:space="preserve">F</w:t>
      </w:r>
      <w:r>
        <w:t xml:space="preserve">(3.35, 226.13) = 1.53,</w:t>
      </w:r>
      <w:r>
        <w:t xml:space="preserve"> </w:t>
      </w:r>
      <w:r>
        <w:rPr>
          <w:i/>
          <w:iCs/>
        </w:rPr>
        <w:t xml:space="preserve">p</w:t>
      </w:r>
      <w:r>
        <w:t xml:space="preserve"> </w:t>
      </w:r>
      <w:r>
        <w:t xml:space="preserve">= .204, so the item-level breakdown below is reported as exploratory rather than a formal decomposition. With that caveat, only the</w:t>
      </w:r>
      <w:r>
        <w:t xml:space="preserve"> </w:t>
      </w:r>
      <w:r>
        <w:rPr>
          <w:b/>
          <w:bCs/>
        </w:rPr>
        <w:t xml:space="preserve">controlled</w:t>
      </w:r>
      <w:r>
        <w:t xml:space="preserve"> </w:t>
      </w:r>
      <w:r>
        <w:t xml:space="preserve">item showed a clear experiment difference: rated significantly lower in Experiment 1 than in both Experiment 2 (</w:t>
      </w:r>
      <w:r>
        <w:rPr>
          <w:i/>
          <w:iCs/>
        </w:rPr>
        <w:t xml:space="preserve">p</w:t>
      </w:r>
      <w:r>
        <w:t xml:space="preserve"> </w:t>
      </w:r>
      <w:r>
        <w:t xml:space="preserve">= .012) and Experiment 3 (</w:t>
      </w:r>
      <w:r>
        <w:rPr>
          <w:i/>
          <w:iCs/>
        </w:rPr>
        <w:t xml:space="preserve">p</w:t>
      </w:r>
      <w:r>
        <w:t xml:space="preserve"> </w:t>
      </w:r>
      <w:r>
        <w:t xml:space="preserve">= .014), which did not differ from each other. Caused and predicted showed no experiment differences (all</w:t>
      </w:r>
      <w:r>
        <w:t xml:space="preserve"> </w:t>
      </w:r>
      <w:r>
        <w:rPr>
          <w:i/>
          <w:iCs/>
        </w:rPr>
        <w:t xml:space="preserve">p</w:t>
      </w:r>
      <w:r>
        <w:t xml:space="preserve"> </w:t>
      </w:r>
      <w:r>
        <w:t xml:space="preserve">≥ .178). So even though no movement was executed in the control condition itself, participants’ sense of control over the (externally generated) outcome was rated lowest by Experiment 1 participants specifically — the same participants who, elsewhere, were also the ones showing the largest active-condition ratings.</w:t>
      </w:r>
    </w:p>
    <w:p>
      <w:pPr>
        <w:pStyle w:val="BodyText"/>
      </w:pPr>
      <w:r>
        <w:rPr>
          <w:b/>
          <w:bCs/>
        </w:rPr>
        <w:t xml:space="preserve">Condition differences within each item.</w:t>
      </w:r>
      <w:r>
        <w:t xml:space="preserve"> </w:t>
      </w:r>
      <w:r>
        <w:t xml:space="preserve">The complementary decomposition asks the reverse question: within each item, does the shape of the Action Consistency effect (and its dependence on Experiment) differ? Three repeated-measures ANOVAs were run, one per item, each with Action Consistency (consistent, inconsistent, control) as a within-subject factor and Experiment as a between-subjects factor.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Action Consistency</w:t>
            </w:r>
          </w:p>
        </w:tc>
        <w:tc>
          <w:tcPr/>
          <w:p>
            <w:pPr>
              <w:pStyle w:val="Compact"/>
            </w:pPr>
            <w:r>
              <w:t xml:space="preserve">Interaction (AC × Experiment)</w:t>
            </w:r>
          </w:p>
        </w:tc>
        <w:tc>
          <w:tcPr/>
          <w:p>
            <w:pPr>
              <w:pStyle w:val="Compact"/>
            </w:pPr>
            <w:r>
              <w:t xml:space="preserve">Experiment (between)</w:t>
            </w:r>
          </w:p>
        </w:tc>
      </w:tr>
      <w:tr>
        <w:tc>
          <w:tcPr/>
          <w:p>
            <w:pPr>
              <w:pStyle w:val="Compact"/>
            </w:pPr>
            <w:r>
              <w:t xml:space="preserve">Caused</w:t>
            </w:r>
          </w:p>
        </w:tc>
        <w:tc>
          <w:tcPr/>
          <w:p>
            <w:pPr>
              <w:pStyle w:val="Compact"/>
            </w:pPr>
            <w:r>
              <w:rPr>
                <w:i/>
                <w:iCs/>
              </w:rPr>
              <w:t xml:space="preserve">F</w:t>
            </w:r>
            <w:r>
              <w:t xml:space="preserve">(1.72, 231.71) = 150.48,</w:t>
            </w:r>
            <w:r>
              <w:t xml:space="preserve"> </w:t>
            </w:r>
            <w:r>
              <w:rPr>
                <w:i/>
                <w:iCs/>
              </w:rPr>
              <w:t xml:space="preserve">p</w:t>
            </w:r>
            <w:r>
              <w:t xml:space="preserve"> </w:t>
            </w:r>
            <w:r>
              <w:t xml:space="preserve">&lt; .001, η²ₚ = .527</w:t>
            </w:r>
          </w:p>
        </w:tc>
        <w:tc>
          <w:tcPr/>
          <w:p>
            <w:pPr>
              <w:pStyle w:val="Compact"/>
            </w:pPr>
            <w:r>
              <w:rPr>
                <w:i/>
                <w:iCs/>
              </w:rPr>
              <w:t xml:space="preserve">F</w:t>
            </w:r>
            <w:r>
              <w:t xml:space="preserve">(3.43, 231.71) = 15.42,</w:t>
            </w:r>
            <w:r>
              <w:t xml:space="preserve"> </w:t>
            </w:r>
            <w:r>
              <w:rPr>
                <w:i/>
                <w:iCs/>
              </w:rPr>
              <w:t xml:space="preserve">p</w:t>
            </w:r>
            <w:r>
              <w:t xml:space="preserve"> </w:t>
            </w:r>
            <w:r>
              <w:t xml:space="preserve">&lt; .001, η²ₚ = .186</w:t>
            </w:r>
          </w:p>
        </w:tc>
        <w:tc>
          <w:tcPr/>
          <w:p>
            <w:pPr>
              <w:pStyle w:val="Compact"/>
            </w:pPr>
            <w:r>
              <w:rPr>
                <w:i/>
                <w:iCs/>
              </w:rPr>
              <w:t xml:space="preserve">F</w:t>
            </w:r>
            <w:r>
              <w:t xml:space="preserve">(2, 135) = 11.75,</w:t>
            </w:r>
            <w:r>
              <w:t xml:space="preserve"> </w:t>
            </w:r>
            <w:r>
              <w:rPr>
                <w:b/>
                <w:bCs/>
              </w:rPr>
              <w:t xml:space="preserve">p &lt; .001</w:t>
            </w:r>
          </w:p>
        </w:tc>
      </w:tr>
      <w:tr>
        <w:tc>
          <w:tcPr/>
          <w:p>
            <w:pPr>
              <w:pStyle w:val="Compact"/>
            </w:pPr>
            <w:r>
              <w:t xml:space="preserve">Controlled</w:t>
            </w:r>
          </w:p>
        </w:tc>
        <w:tc>
          <w:tcPr/>
          <w:p>
            <w:pPr>
              <w:pStyle w:val="Compact"/>
            </w:pPr>
            <w:r>
              <w:rPr>
                <w:i/>
                <w:iCs/>
              </w:rPr>
              <w:t xml:space="preserve">F</w:t>
            </w:r>
            <w:r>
              <w:t xml:space="preserve">(1.64, 221.01) = 107.85,</w:t>
            </w:r>
            <w:r>
              <w:t xml:space="preserve"> </w:t>
            </w:r>
            <w:r>
              <w:rPr>
                <w:i/>
                <w:iCs/>
              </w:rPr>
              <w:t xml:space="preserve">p</w:t>
            </w:r>
            <w:r>
              <w:t xml:space="preserve"> </w:t>
            </w:r>
            <w:r>
              <w:t xml:space="preserve">&lt; .001, η²ₚ = .444</w:t>
            </w:r>
          </w:p>
        </w:tc>
        <w:tc>
          <w:tcPr/>
          <w:p>
            <w:pPr>
              <w:pStyle w:val="Compact"/>
            </w:pPr>
            <w:r>
              <w:rPr>
                <w:i/>
                <w:iCs/>
              </w:rPr>
              <w:t xml:space="preserve">F</w:t>
            </w:r>
            <w:r>
              <w:t xml:space="preserve">(3.27, 221.01) = 14.32,</w:t>
            </w:r>
            <w:r>
              <w:t xml:space="preserve"> </w:t>
            </w:r>
            <w:r>
              <w:rPr>
                <w:i/>
                <w:iCs/>
              </w:rPr>
              <w:t xml:space="preserve">p</w:t>
            </w:r>
            <w:r>
              <w:t xml:space="preserve"> </w:t>
            </w:r>
            <w:r>
              <w:t xml:space="preserve">&lt; .001, η²ₚ = .175</w:t>
            </w:r>
          </w:p>
        </w:tc>
        <w:tc>
          <w:tcPr/>
          <w:p>
            <w:pPr>
              <w:pStyle w:val="Compact"/>
            </w:pPr>
            <w:r>
              <w:rPr>
                <w:i/>
                <w:iCs/>
              </w:rPr>
              <w:t xml:space="preserve">F</w:t>
            </w:r>
            <w:r>
              <w:t xml:space="preserve">(2, 135) = 0.22,</w:t>
            </w:r>
            <w:r>
              <w:t xml:space="preserve"> </w:t>
            </w:r>
            <w:r>
              <w:rPr>
                <w:i/>
                <w:iCs/>
              </w:rPr>
              <w:t xml:space="preserve">p</w:t>
            </w:r>
            <w:r>
              <w:t xml:space="preserve"> </w:t>
            </w:r>
            <w:r>
              <w:t xml:space="preserve">= .804 (n.s.)</w:t>
            </w:r>
          </w:p>
        </w:tc>
      </w:tr>
      <w:tr>
        <w:tc>
          <w:tcPr/>
          <w:p>
            <w:pPr>
              <w:pStyle w:val="Compact"/>
            </w:pPr>
            <w:r>
              <w:t xml:space="preserve">Predicted</w:t>
            </w:r>
          </w:p>
        </w:tc>
        <w:tc>
          <w:tcPr/>
          <w:p>
            <w:pPr>
              <w:pStyle w:val="Compact"/>
            </w:pPr>
            <w:r>
              <w:rPr>
                <w:i/>
                <w:iCs/>
              </w:rPr>
              <w:t xml:space="preserve">F</w:t>
            </w:r>
            <w:r>
              <w:t xml:space="preserve">(1.93, 260.78) = 66.69,</w:t>
            </w:r>
            <w:r>
              <w:t xml:space="preserve"> </w:t>
            </w:r>
            <w:r>
              <w:rPr>
                <w:i/>
                <w:iCs/>
              </w:rPr>
              <w:t xml:space="preserve">p</w:t>
            </w:r>
            <w:r>
              <w:t xml:space="preserve"> </w:t>
            </w:r>
            <w:r>
              <w:t xml:space="preserve">&lt; .001, η²ₚ = .331</w:t>
            </w:r>
          </w:p>
        </w:tc>
        <w:tc>
          <w:tcPr/>
          <w:p>
            <w:pPr>
              <w:pStyle w:val="Compact"/>
            </w:pPr>
            <w:r>
              <w:rPr>
                <w:i/>
                <w:iCs/>
              </w:rPr>
              <w:t xml:space="preserve">F</w:t>
            </w:r>
            <w:r>
              <w:t xml:space="preserve">(3.86, 260.78) = 13.00,</w:t>
            </w:r>
            <w:r>
              <w:t xml:space="preserve"> </w:t>
            </w:r>
            <w:r>
              <w:rPr>
                <w:i/>
                <w:iCs/>
              </w:rPr>
              <w:t xml:space="preserve">p</w:t>
            </w:r>
            <w:r>
              <w:t xml:space="preserve"> </w:t>
            </w:r>
            <w:r>
              <w:t xml:space="preserve">&lt; .001, η²ₚ = .162</w:t>
            </w:r>
          </w:p>
        </w:tc>
        <w:tc>
          <w:tcPr/>
          <w:p>
            <w:pPr>
              <w:pStyle w:val="Compact"/>
            </w:pPr>
            <w:r>
              <w:rPr>
                <w:i/>
                <w:iCs/>
              </w:rPr>
              <w:t xml:space="preserve">F</w:t>
            </w:r>
            <w:r>
              <w:t xml:space="preserve">(2, 135) = 0.63,</w:t>
            </w:r>
            <w:r>
              <w:t xml:space="preserve"> </w:t>
            </w:r>
            <w:r>
              <w:rPr>
                <w:i/>
                <w:iCs/>
              </w:rPr>
              <w:t xml:space="preserve">p</w:t>
            </w:r>
            <w:r>
              <w:t xml:space="preserve"> </w:t>
            </w:r>
            <w:r>
              <w:t xml:space="preserve">= .535 (n.s.)</w:t>
            </w:r>
          </w:p>
        </w:tc>
      </w:tr>
    </w:tbl>
    <w:p>
      <w:pPr>
        <w:pStyle w:val="BodyText"/>
      </w:pPr>
      <w:r>
        <w:t xml:space="preserve">All three items show a robust Action Consistency effect and a significant interaction with Experiment. The critical difference is in the between-subjects row: only</w:t>
      </w:r>
      <w:r>
        <w:t xml:space="preserve"> </w:t>
      </w:r>
      <w:r>
        <w:rPr>
          <w:b/>
          <w:bCs/>
        </w:rPr>
        <w:t xml:space="preserve">caused</w:t>
      </w:r>
      <w:r>
        <w:t xml:space="preserve"> </w:t>
      </w:r>
      <w:r>
        <w:t xml:space="preserve">shows a significant overall Experiment effect (Experiment 1 rated higher than both Experiment 2,</w:t>
      </w:r>
      <w:r>
        <w:t xml:space="preserve"> </w:t>
      </w:r>
      <w:r>
        <w:rPr>
          <w:i/>
          <w:iCs/>
        </w:rPr>
        <w:t xml:space="preserve">p</w:t>
      </w:r>
      <w:r>
        <w:t xml:space="preserve"> </w:t>
      </w:r>
      <w:r>
        <w:t xml:space="preserve">= .006, and Experiment 3,</w:t>
      </w:r>
      <w:r>
        <w:t xml:space="preserve"> </w:t>
      </w:r>
      <w:r>
        <w:rPr>
          <w:i/>
          <w:iCs/>
        </w:rPr>
        <w:t xml:space="preserve">p</w:t>
      </w:r>
      <w:r>
        <w:t xml:space="preserve"> </w:t>
      </w:r>
      <w:r>
        <w:t xml:space="preserve">&lt; .001). Controlled and predicted show no such overall difference. Causation is therefore the most</w:t>
      </w:r>
      <w:r>
        <w:t xml:space="preserve"> </w:t>
      </w:r>
      <w:r>
        <w:t xml:space="preserve">“flexible”</w:t>
      </w:r>
      <w:r>
        <w:t xml:space="preserve"> </w:t>
      </w:r>
      <w:r>
        <w:t xml:space="preserve">item with respect to response modality — the only one whose general rating level shifts with Experiment, independent of condition — while controlled and predicted only diverge across experiments</w:t>
      </w:r>
      <w:r>
        <w:t xml:space="preserve"> </w:t>
      </w:r>
      <w:r>
        <w:rPr>
          <w:i/>
          <w:iCs/>
        </w:rPr>
        <w:t xml:space="preserve">within specific conditions</w:t>
      </w:r>
      <w:r>
        <w:t xml:space="preserve"> </w:t>
      </w:r>
      <w:r>
        <w:t xml:space="preserve">(as shown above), not overall.</w:t>
      </w:r>
    </w:p>
    <w:p>
      <w:pPr>
        <w:pStyle w:val="BodyText"/>
      </w:pPr>
      <w:r>
        <w:t xml:space="preserve">Notably, across all three items’ between-subjects post hoc comparisons, Experiment 2 and Experiment 3 never differ significantly from one another (caused:</w:t>
      </w:r>
      <w:r>
        <w:t xml:space="preserve"> </w:t>
      </w:r>
      <w:r>
        <w:rPr>
          <w:i/>
          <w:iCs/>
        </w:rPr>
        <w:t xml:space="preserve">p</w:t>
      </w:r>
      <w:r>
        <w:t xml:space="preserve"> </w:t>
      </w:r>
      <w:r>
        <w:t xml:space="preserve">= .258; controlled:</w:t>
      </w:r>
      <w:r>
        <w:t xml:space="preserve"> </w:t>
      </w:r>
      <w:r>
        <w:rPr>
          <w:i/>
          <w:iCs/>
        </w:rPr>
        <w:t xml:space="preserve">p</w:t>
      </w:r>
      <w:r>
        <w:t xml:space="preserve"> </w:t>
      </w:r>
      <w:r>
        <w:t xml:space="preserve">= 1.000; predicted:</w:t>
      </w:r>
      <w:r>
        <w:t xml:space="preserve"> </w:t>
      </w:r>
      <w:r>
        <w:rPr>
          <w:i/>
          <w:iCs/>
        </w:rPr>
        <w:t xml:space="preserve">p</w:t>
      </w:r>
      <w:r>
        <w:t xml:space="preserve"> </w:t>
      </w:r>
      <w:r>
        <w:t xml:space="preserve">= 1.000) — whatever separates the experiments at the item level, it consistently separates Experiment 1 (rated higher) from the other two, not Experiment 2 from Experiment 3, although they involve greater movement modalities.</w:t>
      </w:r>
    </w:p>
    <w:p>
      <w:pPr>
        <w:pStyle w:val="BodyText"/>
      </w:pPr>
      <w:r>
        <w:rPr>
          <w:b/>
          <w:bCs/>
        </w:rPr>
        <w:t xml:space="preserve">Correlation</w:t>
      </w:r>
    </w:p>
    <w:p>
      <w:pPr>
        <w:pStyle w:val="BodyText"/>
      </w:pPr>
      <w:r>
        <w:t xml:space="preserve">The same within-person centering procedure used in each individual experiment was applied before pooling the three samples into this combined analysis (</w:t>
      </w:r>
      <w:r>
        <w:rPr>
          <w:i/>
          <w:iCs/>
        </w:rPr>
        <w:t xml:space="preserve">N</w:t>
      </w:r>
      <w:r>
        <w:t xml:space="preserve"> </w:t>
      </w:r>
      <w:r>
        <w:t xml:space="preserve">= 138). With all three experiments combined, the three items’ pairwise correlations were significant across the board — every pair, in every condition, without a single exception (consistent: rs = .75–.81; inconsistent: rs = .34–.74; control: rs = .37–.67; all</w:t>
      </w:r>
      <w:r>
        <w:t xml:space="preserve"> </w:t>
      </w:r>
      <w:r>
        <w:rPr>
          <w:i/>
          <w:iCs/>
        </w:rPr>
        <w:t xml:space="preserve">p</w:t>
      </w:r>
      <w:r>
        <w:t xml:space="preserve"> </w:t>
      </w:r>
      <w:r>
        <w:t xml:space="preserve">&lt; .001). Whatever weakening or breakdown occurred within any single experiment (most notably Experiment 1’s control condition) is no longer visible once the full sample is combined.</w:t>
      </w:r>
    </w:p>
    <w:p>
      <w:pPr>
        <w:pStyle w:val="BodyText"/>
      </w:pPr>
      <w:r>
        <w:t xml:space="preserve">The composite score’s relationship with the implicit RT effect (</w:t>
      </w:r>
      <w:r>
        <w:rPr>
          <w:i/>
          <w:iCs/>
        </w:rPr>
        <w:t xml:space="preserve">d</w:t>
      </w:r>
      <w:r>
        <w:t xml:space="preserve">) was null in the consistent (r = .02,</w:t>
      </w:r>
      <w:r>
        <w:t xml:space="preserve"> </w:t>
      </w:r>
      <w:r>
        <w:rPr>
          <w:i/>
          <w:iCs/>
        </w:rPr>
        <w:t xml:space="preserve">p</w:t>
      </w:r>
      <w:r>
        <w:t xml:space="preserve"> </w:t>
      </w:r>
      <w:r>
        <w:t xml:space="preserve">= .810) and control (r = .09,</w:t>
      </w:r>
      <w:r>
        <w:t xml:space="preserve"> </w:t>
      </w:r>
      <w:r>
        <w:rPr>
          <w:i/>
          <w:iCs/>
        </w:rPr>
        <w:t xml:space="preserve">p</w:t>
      </w:r>
      <w:r>
        <w:t xml:space="preserve"> </w:t>
      </w:r>
      <w:r>
        <w:t xml:space="preserve">= .318) conditions, and significant in the inconsistent condition (r = −.20,</w:t>
      </w:r>
      <w:r>
        <w:t xml:space="preserve"> </w:t>
      </w:r>
      <w:r>
        <w:rPr>
          <w:i/>
          <w:iCs/>
        </w:rPr>
        <w:t xml:space="preserve">p</w:t>
      </w:r>
      <w:r>
        <w:t xml:space="preserve"> </w:t>
      </w:r>
      <w:r>
        <w:t xml:space="preserve">= .019) — the same shape already seen in Experiment 3 alone (Experiments 1 and 2 were null in all three conditions individually; this relationship only becomes visible there once the full combined sample provides enough power).</w:t>
      </w:r>
    </w:p>
    <w:p>
      <w:pPr>
        <w:pStyle w:val="BodyText"/>
      </w:pPr>
      <w:r>
        <w:t xml:space="preserve">The negative sign is worth unpacking.</w:t>
      </w:r>
      <w:r>
        <w:t xml:space="preserve"> </w:t>
      </w:r>
      <w:r>
        <w:rPr>
          <w:i/>
          <w:iCs/>
        </w:rPr>
        <w:t xml:space="preserve">d</w:t>
      </w:r>
      <w:r>
        <w:t xml:space="preserve"> </w:t>
      </w:r>
      <w:r>
        <w:t xml:space="preserve">is not a measure of general reaction speed — it reflects whether attention followed the gaze or followed the participant’s own chosen direction on trials where the two pointed opposite ways, which is what the inconsistent condition is. A negative correlation means that people who rated feeling relatively more agency in the inconsistent condition (relative to their own baseline) were the same people whose attention stayed anchored to the side they had chosen, rather than the side the face gazed toward — faster specifically when the target landed on their own chosen side, slower when it landed where the gaze pointed. Conversely, participants whose rating dropped relative to their own baseline showed the more typical pattern, responding faster when the target followed the gaze, as in the consistent and control conditions.</w:t>
      </w:r>
    </w:p>
    <w:p>
      <w:pPr>
        <w:pStyle w:val="BodyText"/>
      </w:pPr>
      <w:r>
        <w:t xml:space="preserve">A supplementary item-level check showed this relationship was not evenly distributed across items: predicted (r = −.25,</w:t>
      </w:r>
      <w:r>
        <w:t xml:space="preserve"> </w:t>
      </w:r>
      <w:r>
        <w:rPr>
          <w:i/>
          <w:iCs/>
        </w:rPr>
        <w:t xml:space="preserve">p</w:t>
      </w:r>
      <w:r>
        <w:t xml:space="preserve"> </w:t>
      </w:r>
      <w:r>
        <w:t xml:space="preserve">= .003) and controlled (r = −.19,</w:t>
      </w:r>
      <w:r>
        <w:t xml:space="preserve"> </w:t>
      </w:r>
      <w:r>
        <w:rPr>
          <w:i/>
          <w:iCs/>
        </w:rPr>
        <w:t xml:space="preserve">p</w:t>
      </w:r>
      <w:r>
        <w:t xml:space="preserve"> </w:t>
      </w:r>
      <w:r>
        <w:t xml:space="preserve">= .028) individually related to the implicit RT effect more strongly than the composite, while caused showed no relationship (r = −.06,</w:t>
      </w:r>
      <w:r>
        <w:t xml:space="preserve"> </w:t>
      </w:r>
      <w:r>
        <w:rPr>
          <w:i/>
          <w:iCs/>
        </w:rPr>
        <w:t xml:space="preserve">p</w:t>
      </w:r>
      <w:r>
        <w:t xml:space="preserve"> </w:t>
      </w:r>
      <w:r>
        <w:t xml:space="preserve">= .474) — the composite’s relationship with the implicit RT effect is driven almost entirely by controlled and predicted, with caused contributing essentially nothing despite being the item most sensitive to the manipulation on average. (The interpretation above accordingly applies specifically to</w:t>
      </w:r>
      <w:r>
        <w:t xml:space="preserve"> </w:t>
      </w:r>
      <w:r>
        <w:rPr>
          <w:b/>
          <w:bCs/>
        </w:rPr>
        <w:t xml:space="preserve">predicted</w:t>
      </w:r>
      <w:r>
        <w:t xml:space="preserve"> </w:t>
      </w:r>
      <w:r>
        <w:t xml:space="preserve">and</w:t>
      </w:r>
      <w:r>
        <w:t xml:space="preserve"> </w:t>
      </w:r>
      <w:r>
        <w:rPr>
          <w:b/>
          <w:bCs/>
        </w:rPr>
        <w:t xml:space="preserve">controlled</w:t>
      </w:r>
      <w:r>
        <w:t xml:space="preserve">; caused showed no such link.) This mirrors what was already found in Experiment 3 alone, now confirmed at the level of the full combined sample.</w:t>
      </w:r>
    </w:p>
    <w:p>
      <w:pPr>
        <w:pStyle w:val="BodyText"/>
      </w:pPr>
      <w:r>
        <w:rPr>
          <w:b/>
          <w:bCs/>
        </w:rPr>
        <w:t xml:space="preserve">Taken together</w:t>
      </w:r>
      <w:r>
        <w:t xml:space="preserve">, the ANOVA and correlation results point to two different properties of the three items, which do not line up with one another. On the ANOVA side, ratings were most spread out across items and conditions in Experiment 1, the lowest-movement modality; as movement requirements increased, the items collapsed toward a more clustered, less differentiated pattern in Experiments 2 and 3, and causation stood out as the most flexible item with respect to movement modality — the only one showing a genuine overall shift in rating level across experiments. On the correlation side, however, causation was the</w:t>
      </w:r>
      <w:r>
        <w:t xml:space="preserve"> </w:t>
      </w:r>
      <w:r>
        <w:rPr>
          <w:i/>
          <w:iCs/>
        </w:rPr>
        <w:t xml:space="preserve">least</w:t>
      </w:r>
      <w:r>
        <w:t xml:space="preserve"> </w:t>
      </w:r>
      <w:r>
        <w:t xml:space="preserve">informative item: the composite’s relationship with the implicit RT effect, present only in the inconsistent condition, was driven almost entirely by controlled and predicted, with causation contributing essentially nothing.</w:t>
      </w:r>
    </w:p>
    <w:p>
      <w:pPr>
        <w:pStyle w:val="BodyText"/>
      </w:pPr>
      <w:r>
        <w:t xml:space="preserve">This trade-off is systematic rather than coincidental: the item most discriminating with respect to one property is the least informative with respect to the other. Causation most reliably distinguished between action conditions, consistently showing the largest average Action Consistency effect of the three, yet it accounted for essentially none of the individual-differences variance linking explicit ratings to the implicit RT effect. Controlled and predicted showed the reverse profile: comparatively weaker at separating the conditions on average, but responsible for whatever relationship existed with participants’ own RT patterns. Causation therefore appears to drive the group-level (ANOVA) effect, while controlled and predicted drive the individual-differences (correlation) effect — two properties of the data that need not co-occur, and here evidently do not. This reinforces the earlier observation regarding item convergence: although the three items increasingly collapsed into a single, tightly intercorrelated cluster in Experiments 2 and 3, particularly within the active conditions, they nonetheless appear to tap at least partially distinct components of explicit sense of agency — one that shifts with the manipulation on average, and a separate component that varies meaningfully between individuals.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2026-08-18T08:02:29Z</dcterms:created>
  <dcterms:modified xsi:type="dcterms:W3CDTF">2026-08-18T08:02:29Z</dcterms:modified>
</cp:coreProperties>
</file>

<file path=docProps/custom.xml><?xml version="1.0" encoding="utf-8"?>
<Properties xmlns="http://schemas.openxmlformats.org/officeDocument/2006/custom-properties" xmlns:vt="http://schemas.openxmlformats.org/officeDocument/2006/docPropsVTypes"/>
</file>