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experiment-2"/>
    <w:p>
      <w:pPr>
        <w:pStyle w:val="Heading1"/>
      </w:pPr>
      <w:r>
        <w:t xml:space="preserve">Experiment 2</w:t>
      </w:r>
    </w:p>
    <w:bookmarkStart w:id="9" w:name="method"/>
    <w:p>
      <w:pPr>
        <w:pStyle w:val="Heading2"/>
      </w:pPr>
      <w:r>
        <w:t xml:space="preserve">Method</w:t>
      </w:r>
    </w:p>
    <w:p>
      <w:pPr>
        <w:pStyle w:val="FirstParagraph"/>
      </w:pPr>
      <w:r>
        <w:t xml:space="preserve">Experiment 2 employed the same paradigm as Experiment 1, described in the Rationale section. The experiment differed only in the response modality of the direction-selection response: instead of pressing a keyboard button, participants indicated their directional choice with a mouse click.</w:t>
      </w:r>
    </w:p>
    <w:p>
      <w:pPr>
        <w:pStyle w:val="BodyText"/>
      </w:pPr>
      <w:r>
        <w:t xml:space="preserve">As in the previous experiment, a fixation symbol preceded each trial: a cross (</w:t>
      </w:r>
      <w:r>
        <w:t xml:space="preserve">“+”</w:t>
      </w:r>
      <w:r>
        <w:t xml:space="preserve">) or an asterisk (</w:t>
      </w:r>
      <w:r>
        <w:t xml:space="preserve">“*”</w:t>
      </w:r>
      <w:r>
        <w:t xml:space="preserve">), one signaling a control trial and the other an action trial requiring a direction-selection response. The symbols were counterbaanced between participants. In Experiment 2, in active trials, the mouse cursor became visible on the screen together with the fixation symbol, positioned just below it. In contrast, it remained hidden throughout control trials. Afterward, just as in Experiment 1, the face appeared together with two bordered, unfilled rectangles positioned to its left and right — the same locations later occupied by the color target. In the active conditions participants selected the gaze direction they wished to induce by moving the cursor into one of the two rectangles and clicking; the direction was scored according to which rectangle contained the cursor at the moment of the click. Clicks falling outside both rectangles were not registered and had no effect, such that only a click inside one of the two rectangles ended the response window. (should it be added or not about the gaze following the cursor followed by the eyes?)</w:t>
      </w:r>
      <w:r>
        <w:t xml:space="preserve"> </w:t>
      </w:r>
      <w:r>
        <w:t xml:space="preserve">Unlike Experiment 1, due to the nature of the direction-selection action, hand usage was not counterbalanced between tasks.</w:t>
      </w:r>
    </w:p>
    <w:p>
      <w:pPr>
        <w:pStyle w:val="BodyText"/>
      </w:pPr>
      <w:r>
        <w:t xml:space="preserve">Explicit sense of agency was again assessed at the end of the procedure using the same three self-report questions (predict / control / caused).</w:t>
      </w:r>
    </w:p>
    <w:bookmarkEnd w:id="9"/>
    <w:bookmarkStart w:id="10" w:name="results-and-discussion"/>
    <w:p>
      <w:pPr>
        <w:pStyle w:val="Heading2"/>
      </w:pPr>
      <w:r>
        <w:t xml:space="preserve">Results and Discussion</w:t>
      </w:r>
    </w:p>
    <w:p>
      <w:pPr>
        <w:pStyle w:val="FirstParagraph"/>
      </w:pPr>
      <w:r>
        <w:rPr>
          <w:b/>
          <w:bCs/>
        </w:rPr>
        <w:t xml:space="preserve">Data Exclusion and Final Sample</w:t>
      </w:r>
    </w:p>
    <w:p>
      <w:pPr>
        <w:pStyle w:val="BodyText"/>
      </w:pPr>
      <w:r>
        <w:t xml:space="preserve">Data were initially collected from 61 participants. One participant was excluded due to a technical problem during data collection and is not present in the dataset, leaving data from sixty participants (11 males, 49 females; M = 22.78 years, SD = 7.16). Four participants were excluded because their accuracy in the main experimental phase was below 85%, resulting in a sample of 56 participants. Seven further participants were excluded based on predefined questionnaire data-quality criteria — invariant responding across items, defined as a dominant response exceeding 75% of all ratings combined with a condition-level response range of 0.5 or less (Meade &amp; Craig, 2012); this resulted in a sample of 49 participants, contributing 8,232 trials.</w:t>
      </w:r>
    </w:p>
    <w:p>
      <w:pPr>
        <w:pStyle w:val="BodyText"/>
      </w:pPr>
      <w:r>
        <w:t xml:space="preserve">From these trials, 3.88% (319 trials) were removed as error trials, leaving 7,913 trials. Forty-three trials (0.54%, spread across 14 participants) were with reaction time lower than 200 ms, therefore were also excluded as they were treated as anticipatory/premature responses rather than genuine stimulus-driven reactions. A further 4.40% (346 trials) were excluded because their remaining reaction times deviated by more than 2 standard deviations from the mean, calculated separately for each participant and condition, leaving 7,524 trials.</w:t>
      </w:r>
    </w:p>
    <w:p>
      <w:pPr>
        <w:pStyle w:val="BodyText"/>
      </w:pPr>
      <w:r>
        <w:t xml:space="preserve">One further participant was excluded due to their overall mean reaction time exceeded the group one by more than 2 standard deviations (cutoff: 708.7 ms, participant’s mean: 715.3 ms).</w:t>
      </w:r>
    </w:p>
    <w:p>
      <w:pPr>
        <w:pStyle w:val="BodyText"/>
      </w:pPr>
      <w:r>
        <w:t xml:space="preserve">The final analyses were therefore conducted on data from 48 participants.</w:t>
      </w:r>
    </w:p>
    <w:p>
      <w:pPr>
        <w:pStyle w:val="BodyText"/>
      </w:pPr>
      <w:r>
        <w:rPr>
          <w:b/>
          <w:bCs/>
        </w:rPr>
        <w:t xml:space="preserve">Reaction Time, Gaze Cueing, and Sense of Agency</w:t>
      </w:r>
    </w:p>
    <w:p>
      <w:pPr>
        <w:pStyle w:val="BodyText"/>
      </w:pPr>
      <w:r>
        <w:rPr>
          <w:b/>
          <w:bCs/>
        </w:rPr>
        <w:t xml:space="preserve">Descriptive statistics</w:t>
      </w:r>
    </w:p>
    <w:p>
      <w:pPr>
        <w:pStyle w:val="BodyText"/>
      </w:pPr>
      <w:r>
        <w:t xml:space="preserve">As in Experiment 1, the fastest mean RT was observed in the congruent-consistent condition (M = 495.40 ms, SD = 90.20), whereas the slowest mean RT was again observed in the incongruent-control condition (M = 536.23 ms, SD = 106.52).</w:t>
      </w:r>
    </w:p>
    <w:p>
      <w:pPr>
        <w:pStyle w:val="BodyText"/>
      </w:pPr>
      <w:r>
        <w:t xml:space="preserve">The mean difference between incongruent and congruent trials (congruency/GC effect, computed per participant) was 27.92 ms (SD = 32.99) for consistent trials and 12.87 ms (SD = 33.47) for control trials — both in the expected direction, with congruent trials faster than incongruent trials. In the inconsistent condition, however, the mean difference was reversed (−10.76 ms, SD = 40.25), with numerically faster responses on incongruent than on congruent trials.</w:t>
      </w:r>
    </w:p>
    <w:p>
      <w:pPr>
        <w:pStyle w:val="BodyText"/>
      </w:pPr>
      <w:r>
        <w:t xml:space="preserve">Within gaze-congruent trials, RTs were fastest in the consistent condition (M = 495.40 ms, SD = 90.20), followed by inconsistent (M = 510.59 ms, SD = 87.42) and control (M = 523.36 ms, SD = 99.45). Within gaze-incongruent trials, the ordering differed: inconsistent trials were fastest (M = 499.82 ms, SD = 92.56), followed by consistent (M = 523.32 ms, SD = 94.91) and control (M = 536.23 ms, SD = 106.52).</w:t>
      </w:r>
    </w:p>
    <w:p>
      <w:pPr>
        <w:pStyle w:val="BodyText"/>
      </w:pPr>
      <w:r>
        <w:t xml:space="preserve">Descriptive statistics for reaction times (RTs) are summarized in Table X.</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Condition</w:t>
            </w:r>
          </w:p>
        </w:tc>
        <w:tc>
          <w:tcPr/>
          <w:p>
            <w:pPr>
              <w:pStyle w:val="Compact"/>
              <w:jc w:val="center"/>
            </w:pPr>
            <w:r>
              <w:t xml:space="preserve">Valid</w:t>
            </w:r>
          </w:p>
        </w:tc>
        <w:tc>
          <w:tcPr/>
          <w:p>
            <w:pPr>
              <w:pStyle w:val="Compact"/>
              <w:jc w:val="center"/>
            </w:pPr>
            <w:r>
              <w:t xml:space="preserve">Mean (ms)</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Congruent – Consistent</w:t>
            </w:r>
          </w:p>
        </w:tc>
        <w:tc>
          <w:tcPr/>
          <w:p>
            <w:pPr>
              <w:pStyle w:val="Compact"/>
              <w:jc w:val="center"/>
            </w:pPr>
            <w:r>
              <w:t xml:space="preserve">48</w:t>
            </w:r>
          </w:p>
        </w:tc>
        <w:tc>
          <w:tcPr/>
          <w:p>
            <w:pPr>
              <w:pStyle w:val="Compact"/>
              <w:jc w:val="center"/>
            </w:pPr>
            <w:r>
              <w:t xml:space="preserve">495.40</w:t>
            </w:r>
          </w:p>
        </w:tc>
        <w:tc>
          <w:tcPr/>
          <w:p>
            <w:pPr>
              <w:pStyle w:val="Compact"/>
              <w:jc w:val="center"/>
            </w:pPr>
            <w:r>
              <w:t xml:space="preserve">90.20</w:t>
            </w:r>
          </w:p>
        </w:tc>
        <w:tc>
          <w:tcPr/>
          <w:p>
            <w:pPr>
              <w:pStyle w:val="Compact"/>
              <w:jc w:val="center"/>
            </w:pPr>
            <w:r>
              <w:t xml:space="preserve">369</w:t>
            </w:r>
          </w:p>
        </w:tc>
        <w:tc>
          <w:tcPr/>
          <w:p>
            <w:pPr>
              <w:pStyle w:val="Compact"/>
              <w:jc w:val="center"/>
            </w:pPr>
            <w:r>
              <w:t xml:space="preserve">698</w:t>
            </w:r>
          </w:p>
        </w:tc>
      </w:tr>
      <w:tr>
        <w:tc>
          <w:tcPr/>
          <w:p>
            <w:pPr>
              <w:pStyle w:val="Compact"/>
              <w:jc w:val="left"/>
            </w:pPr>
            <w:r>
              <w:t xml:space="preserve">Congruent – Control</w:t>
            </w:r>
          </w:p>
        </w:tc>
        <w:tc>
          <w:tcPr/>
          <w:p>
            <w:pPr>
              <w:pStyle w:val="Compact"/>
              <w:jc w:val="center"/>
            </w:pPr>
            <w:r>
              <w:t xml:space="preserve">48</w:t>
            </w:r>
          </w:p>
        </w:tc>
        <w:tc>
          <w:tcPr/>
          <w:p>
            <w:pPr>
              <w:pStyle w:val="Compact"/>
              <w:jc w:val="center"/>
            </w:pPr>
            <w:r>
              <w:t xml:space="preserve">523.36</w:t>
            </w:r>
          </w:p>
        </w:tc>
        <w:tc>
          <w:tcPr/>
          <w:p>
            <w:pPr>
              <w:pStyle w:val="Compact"/>
              <w:jc w:val="center"/>
            </w:pPr>
            <w:r>
              <w:t xml:space="preserve">99.45</w:t>
            </w:r>
          </w:p>
        </w:tc>
        <w:tc>
          <w:tcPr/>
          <w:p>
            <w:pPr>
              <w:pStyle w:val="Compact"/>
              <w:jc w:val="center"/>
            </w:pPr>
            <w:r>
              <w:t xml:space="preserve">362</w:t>
            </w:r>
          </w:p>
        </w:tc>
        <w:tc>
          <w:tcPr/>
          <w:p>
            <w:pPr>
              <w:pStyle w:val="Compact"/>
              <w:jc w:val="center"/>
            </w:pPr>
            <w:r>
              <w:t xml:space="preserve">750</w:t>
            </w:r>
          </w:p>
        </w:tc>
      </w:tr>
      <w:tr>
        <w:tc>
          <w:tcPr/>
          <w:p>
            <w:pPr>
              <w:pStyle w:val="Compact"/>
              <w:jc w:val="left"/>
            </w:pPr>
            <w:r>
              <w:t xml:space="preserve">Congruent – Inconsistent</w:t>
            </w:r>
          </w:p>
        </w:tc>
        <w:tc>
          <w:tcPr/>
          <w:p>
            <w:pPr>
              <w:pStyle w:val="Compact"/>
              <w:jc w:val="center"/>
            </w:pPr>
            <w:r>
              <w:t xml:space="preserve">48</w:t>
            </w:r>
          </w:p>
        </w:tc>
        <w:tc>
          <w:tcPr/>
          <w:p>
            <w:pPr>
              <w:pStyle w:val="Compact"/>
              <w:jc w:val="center"/>
            </w:pPr>
            <w:r>
              <w:t xml:space="preserve">510.59</w:t>
            </w:r>
          </w:p>
        </w:tc>
        <w:tc>
          <w:tcPr/>
          <w:p>
            <w:pPr>
              <w:pStyle w:val="Compact"/>
              <w:jc w:val="center"/>
            </w:pPr>
            <w:r>
              <w:t xml:space="preserve">87.42</w:t>
            </w:r>
          </w:p>
        </w:tc>
        <w:tc>
          <w:tcPr/>
          <w:p>
            <w:pPr>
              <w:pStyle w:val="Compact"/>
              <w:jc w:val="center"/>
            </w:pPr>
            <w:r>
              <w:t xml:space="preserve">372</w:t>
            </w:r>
          </w:p>
        </w:tc>
        <w:tc>
          <w:tcPr/>
          <w:p>
            <w:pPr>
              <w:pStyle w:val="Compact"/>
              <w:jc w:val="center"/>
            </w:pPr>
            <w:r>
              <w:t xml:space="preserve">709</w:t>
            </w:r>
          </w:p>
        </w:tc>
      </w:tr>
    </w:tbl>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Condition</w:t>
            </w:r>
          </w:p>
        </w:tc>
        <w:tc>
          <w:tcPr/>
          <w:p>
            <w:pPr>
              <w:pStyle w:val="Compact"/>
              <w:jc w:val="center"/>
            </w:pPr>
            <w:r>
              <w:t xml:space="preserve">Valid</w:t>
            </w:r>
          </w:p>
        </w:tc>
        <w:tc>
          <w:tcPr/>
          <w:p>
            <w:pPr>
              <w:pStyle w:val="Compact"/>
              <w:jc w:val="center"/>
            </w:pPr>
            <w:r>
              <w:t xml:space="preserve">Mean (ms)</w:t>
            </w:r>
          </w:p>
        </w:tc>
        <w:tc>
          <w:tcPr/>
          <w:p>
            <w:pPr>
              <w:pStyle w:val="Compact"/>
              <w:jc w:val="center"/>
            </w:pPr>
            <w:r>
              <w:t xml:space="preserve">SD</w:t>
            </w:r>
          </w:p>
        </w:tc>
        <w:tc>
          <w:tcPr/>
          <w:p>
            <w:pPr>
              <w:pStyle w:val="Compact"/>
              <w:jc w:val="center"/>
            </w:pPr>
            <w:r>
              <w:t xml:space="preserve">Min</w:t>
            </w:r>
          </w:p>
        </w:tc>
        <w:tc>
          <w:tcPr/>
          <w:p>
            <w:pPr>
              <w:pStyle w:val="Compact"/>
              <w:jc w:val="center"/>
            </w:pPr>
            <w:r>
              <w:t xml:space="preserve">Max</w:t>
            </w:r>
          </w:p>
        </w:tc>
      </w:tr>
      <w:tr>
        <w:tc>
          <w:tcPr/>
          <w:p>
            <w:pPr>
              <w:pStyle w:val="Compact"/>
              <w:jc w:val="left"/>
            </w:pPr>
            <w:r>
              <w:t xml:space="preserve">Incongruent – Consistent</w:t>
            </w:r>
          </w:p>
        </w:tc>
        <w:tc>
          <w:tcPr/>
          <w:p>
            <w:pPr>
              <w:pStyle w:val="Compact"/>
              <w:jc w:val="center"/>
            </w:pPr>
            <w:r>
              <w:t xml:space="preserve">48</w:t>
            </w:r>
          </w:p>
        </w:tc>
        <w:tc>
          <w:tcPr/>
          <w:p>
            <w:pPr>
              <w:pStyle w:val="Compact"/>
              <w:jc w:val="center"/>
            </w:pPr>
            <w:r>
              <w:t xml:space="preserve">523.32</w:t>
            </w:r>
          </w:p>
        </w:tc>
        <w:tc>
          <w:tcPr/>
          <w:p>
            <w:pPr>
              <w:pStyle w:val="Compact"/>
              <w:jc w:val="center"/>
            </w:pPr>
            <w:r>
              <w:t xml:space="preserve">94.91</w:t>
            </w:r>
          </w:p>
        </w:tc>
        <w:tc>
          <w:tcPr/>
          <w:p>
            <w:pPr>
              <w:pStyle w:val="Compact"/>
              <w:jc w:val="center"/>
            </w:pPr>
            <w:r>
              <w:t xml:space="preserve">371</w:t>
            </w:r>
          </w:p>
        </w:tc>
        <w:tc>
          <w:tcPr/>
          <w:p>
            <w:pPr>
              <w:pStyle w:val="Compact"/>
              <w:jc w:val="center"/>
            </w:pPr>
            <w:r>
              <w:t xml:space="preserve">766</w:t>
            </w:r>
          </w:p>
        </w:tc>
      </w:tr>
      <w:tr>
        <w:tc>
          <w:tcPr/>
          <w:p>
            <w:pPr>
              <w:pStyle w:val="Compact"/>
              <w:jc w:val="left"/>
            </w:pPr>
            <w:r>
              <w:t xml:space="preserve">Incongruent – Control</w:t>
            </w:r>
          </w:p>
        </w:tc>
        <w:tc>
          <w:tcPr/>
          <w:p>
            <w:pPr>
              <w:pStyle w:val="Compact"/>
              <w:jc w:val="center"/>
            </w:pPr>
            <w:r>
              <w:t xml:space="preserve">48</w:t>
            </w:r>
          </w:p>
        </w:tc>
        <w:tc>
          <w:tcPr/>
          <w:p>
            <w:pPr>
              <w:pStyle w:val="Compact"/>
              <w:jc w:val="center"/>
            </w:pPr>
            <w:r>
              <w:t xml:space="preserve">536.23</w:t>
            </w:r>
          </w:p>
        </w:tc>
        <w:tc>
          <w:tcPr/>
          <w:p>
            <w:pPr>
              <w:pStyle w:val="Compact"/>
              <w:jc w:val="center"/>
            </w:pPr>
            <w:r>
              <w:t xml:space="preserve">106.52</w:t>
            </w:r>
          </w:p>
        </w:tc>
        <w:tc>
          <w:tcPr/>
          <w:p>
            <w:pPr>
              <w:pStyle w:val="Compact"/>
              <w:jc w:val="center"/>
            </w:pPr>
            <w:r>
              <w:t xml:space="preserve">375</w:t>
            </w:r>
          </w:p>
        </w:tc>
        <w:tc>
          <w:tcPr/>
          <w:p>
            <w:pPr>
              <w:pStyle w:val="Compact"/>
              <w:jc w:val="center"/>
            </w:pPr>
            <w:r>
              <w:t xml:space="preserve">751</w:t>
            </w:r>
          </w:p>
        </w:tc>
      </w:tr>
      <w:tr>
        <w:tc>
          <w:tcPr/>
          <w:p>
            <w:pPr>
              <w:pStyle w:val="Compact"/>
              <w:jc w:val="left"/>
            </w:pPr>
            <w:r>
              <w:t xml:space="preserve">Incongruent – Inconsistent</w:t>
            </w:r>
          </w:p>
        </w:tc>
        <w:tc>
          <w:tcPr/>
          <w:p>
            <w:pPr>
              <w:pStyle w:val="Compact"/>
              <w:jc w:val="center"/>
            </w:pPr>
            <w:r>
              <w:t xml:space="preserve">48</w:t>
            </w:r>
          </w:p>
        </w:tc>
        <w:tc>
          <w:tcPr/>
          <w:p>
            <w:pPr>
              <w:pStyle w:val="Compact"/>
              <w:jc w:val="center"/>
            </w:pPr>
            <w:r>
              <w:t xml:space="preserve">499.82</w:t>
            </w:r>
          </w:p>
        </w:tc>
        <w:tc>
          <w:tcPr/>
          <w:p>
            <w:pPr>
              <w:pStyle w:val="Compact"/>
              <w:jc w:val="center"/>
            </w:pPr>
            <w:r>
              <w:t xml:space="preserve">92.56</w:t>
            </w:r>
          </w:p>
        </w:tc>
        <w:tc>
          <w:tcPr/>
          <w:p>
            <w:pPr>
              <w:pStyle w:val="Compact"/>
              <w:jc w:val="center"/>
            </w:pPr>
            <w:r>
              <w:t xml:space="preserve">361</w:t>
            </w:r>
          </w:p>
        </w:tc>
        <w:tc>
          <w:tcPr/>
          <w:p>
            <w:pPr>
              <w:pStyle w:val="Compact"/>
              <w:jc w:val="center"/>
            </w:pPr>
            <w:r>
              <w:t xml:space="preserve">728</w:t>
            </w:r>
          </w:p>
        </w:tc>
      </w:tr>
    </w:tbl>
    <w:p>
      <w:pPr>
        <w:pStyle w:val="BodyText"/>
      </w:pPr>
      <w:r>
        <w:t xml:space="preserve">Table X: Mean RTs and standard deviations (SD) per condition, ms, Experiment 2.</w:t>
      </w:r>
    </w:p>
    <w:p>
      <w:pPr>
        <w:pStyle w:val="BodyText"/>
      </w:pPr>
      <w:r>
        <w:rPr>
          <w:b/>
          <w:bCs/>
        </w:rPr>
        <w:t xml:space="preserve">Statistical analyses</w:t>
      </w:r>
    </w:p>
    <w:p>
      <w:pPr>
        <w:pStyle w:val="BodyText"/>
      </w:pPr>
      <w:r>
        <w:rPr>
          <w:b/>
          <w:bCs/>
        </w:rPr>
        <w:t xml:space="preserve">rANOVA</w:t>
      </w:r>
    </w:p>
    <w:p>
      <w:pPr>
        <w:pStyle w:val="BodyText"/>
      </w:pPr>
      <w:r>
        <w:t xml:space="preserve">As in Experiment 1, reaction times were averaged per participant and submitted to a repeated-measures ANOVA, with gaze congruency (congruent vs. incongruent) and action consistency (consistent, inconsistent, control) entered as within-subject factors. A post-hoc power analysis indicated that with the final sample size of 48 participants, the experiment had high power (power = 0.972) to detect even a small effect (f = 0.20) (Faul et al., 2007). For within-subject terms with more than one degree of freedom, the Greenhouse and Geisser (1959) correction was applied to control for violations of sphericity and the associated inflation of Type I error; simple effects were subsequently examined using Bonferroni-corrected post-hoc comparisons at p &lt; .05.</w:t>
      </w:r>
    </w:p>
    <w:p>
      <w:pPr>
        <w:pStyle w:val="BodyText"/>
      </w:pPr>
      <w:r>
        <w:t xml:space="preserve">Replicating Experiment 1, there was a significant main effect of gaze congruency,</w:t>
      </w:r>
      <w:r>
        <w:t xml:space="preserve"> </w:t>
      </w:r>
      <w:r>
        <w:rPr>
          <w:i/>
          <w:iCs/>
        </w:rPr>
        <w:t xml:space="preserve">F</w:t>
      </w:r>
      <w:r>
        <w:t xml:space="preserve">(1, 47) = 17.37,</w:t>
      </w:r>
      <w:r>
        <w:t xml:space="preserve"> </w:t>
      </w:r>
      <w:r>
        <w:rPr>
          <w:i/>
          <w:iCs/>
        </w:rPr>
        <w:t xml:space="preserve">p</w:t>
      </w:r>
      <w:r>
        <w:t xml:space="preserve"> </w:t>
      </w:r>
      <w:r>
        <w:t xml:space="preserve">&lt; .001, η²ₚ = .270, indicating that RTs reliably differed between congruent and incongruent trials; as the descriptive statistics above show, this difference reflected faster responses on congruent than on incongruent trials, indicating the overall existence of a standard gaze-cueing effect. The simple main effect of gaze, however, showed that as in Experiment 1 the congruency (gaze-cueing) effect was significant within the consistent (</w:t>
      </w:r>
      <w:r>
        <w:rPr>
          <w:i/>
          <w:iCs/>
        </w:rPr>
        <w:t xml:space="preserve">F</w:t>
      </w:r>
      <w:r>
        <w:t xml:space="preserve">(1, 47) = 34.38,</w:t>
      </w:r>
      <w:r>
        <w:t xml:space="preserve"> </w:t>
      </w:r>
      <w:r>
        <w:rPr>
          <w:i/>
          <w:iCs/>
        </w:rPr>
        <w:t xml:space="preserve">p</w:t>
      </w:r>
      <w:r>
        <w:t xml:space="preserve"> </w:t>
      </w:r>
      <w:r>
        <w:t xml:space="preserve">&lt; .001) and control conditions (</w:t>
      </w:r>
      <w:r>
        <w:rPr>
          <w:i/>
          <w:iCs/>
        </w:rPr>
        <w:t xml:space="preserve">F</w:t>
      </w:r>
      <w:r>
        <w:t xml:space="preserve">(1, 47) = 7.10,</w:t>
      </w:r>
      <w:r>
        <w:t xml:space="preserve"> </w:t>
      </w:r>
      <w:r>
        <w:rPr>
          <w:i/>
          <w:iCs/>
        </w:rPr>
        <w:t xml:space="preserve">p</w:t>
      </w:r>
      <w:r>
        <w:t xml:space="preserve"> </w:t>
      </w:r>
      <w:r>
        <w:t xml:space="preserve">= .011), but not within the inconsistent condition (</w:t>
      </w:r>
      <w:r>
        <w:rPr>
          <w:i/>
          <w:iCs/>
        </w:rPr>
        <w:t xml:space="preserve">F</w:t>
      </w:r>
      <w:r>
        <w:t xml:space="preserve">(1, 47) = 3.43,</w:t>
      </w:r>
      <w:r>
        <w:t xml:space="preserve"> </w:t>
      </w:r>
      <w:r>
        <w:rPr>
          <w:i/>
          <w:iCs/>
        </w:rPr>
        <w:t xml:space="preserve">p</w:t>
      </w:r>
      <w:r>
        <w:t xml:space="preserve"> </w:t>
      </w:r>
      <w:r>
        <w:t xml:space="preserve">= .070) where it even showed a numerically reversed pattern of results. This means that when no directional-selection action was present, or when it was in synchrony with the gaze direction, participants reacted faster to targets at the gazed-at direction and slower to targets presented at the other (opposite) direction. However, when the direction selected by the participant did not match the gaze direction, the same gaze-cueing effect was not established; instead, although not statistically significant, faster reactions were observed for targets that appeared on the side selected by the participant rather than the gazed-at one.</w:t>
      </w:r>
    </w:p>
    <w:p>
      <w:pPr>
        <w:pStyle w:val="BodyText"/>
      </w:pPr>
      <w:r>
        <w:t xml:space="preserve">The main effect of action consistency was also significant,</w:t>
      </w:r>
      <w:r>
        <w:t xml:space="preserve"> </w:t>
      </w:r>
      <w:r>
        <w:rPr>
          <w:i/>
          <w:iCs/>
        </w:rPr>
        <w:t xml:space="preserve">F</w:t>
      </w:r>
      <w:r>
        <w:t xml:space="preserve">(1.29, 60.56) = 13.28,</w:t>
      </w:r>
      <w:r>
        <w:t xml:space="preserve"> </w:t>
      </w:r>
      <w:r>
        <w:rPr>
          <w:i/>
          <w:iCs/>
        </w:rPr>
        <w:t xml:space="preserve">p</w:t>
      </w:r>
      <w:r>
        <w:t xml:space="preserve"> </w:t>
      </w:r>
      <w:r>
        <w:t xml:space="preserve">&lt; .001, η²ₚ = .220 (greenhouse-Geisser corrected). Post hoc comparisons (collapsed across gaze congruency) showed that both active conditions were faster than control trials — consistent vs. control (MD = −20.44 ms,</w:t>
      </w:r>
      <w:r>
        <w:t xml:space="preserve"> </w:t>
      </w:r>
      <w:r>
        <w:rPr>
          <w:i/>
          <w:iCs/>
        </w:rPr>
        <w:t xml:space="preserve">t</w:t>
      </w:r>
      <w:r>
        <w:t xml:space="preserve">(47) = −3.38,</w:t>
      </w:r>
      <w:r>
        <w:t xml:space="preserve"> </w:t>
      </w:r>
      <w:r>
        <w:rPr>
          <w:i/>
          <w:iCs/>
        </w:rPr>
        <w:t xml:space="preserve">p</w:t>
      </w:r>
      <w:r>
        <w:t xml:space="preserve"> </w:t>
      </w:r>
      <w:r>
        <w:t xml:space="preserve">= .004, Cohen’s</w:t>
      </w:r>
      <w:r>
        <w:t xml:space="preserve"> </w:t>
      </w:r>
      <w:r>
        <w:rPr>
          <w:i/>
          <w:iCs/>
        </w:rPr>
        <w:t xml:space="preserve">d</w:t>
      </w:r>
      <w:r>
        <w:t xml:space="preserve"> </w:t>
      </w:r>
      <w:r>
        <w:t xml:space="preserve">= −0.21) and inconsistent vs. control (MD = −24.59 ms,</w:t>
      </w:r>
      <w:r>
        <w:t xml:space="preserve"> </w:t>
      </w:r>
      <w:r>
        <w:rPr>
          <w:i/>
          <w:iCs/>
        </w:rPr>
        <w:t xml:space="preserve">t</w:t>
      </w:r>
      <w:r>
        <w:t xml:space="preserve">(47) = −4.16,</w:t>
      </w:r>
      <w:r>
        <w:t xml:space="preserve"> </w:t>
      </w:r>
      <w:r>
        <w:rPr>
          <w:i/>
          <w:iCs/>
        </w:rPr>
        <w:t xml:space="preserve">p</w:t>
      </w:r>
      <w:r>
        <w:t xml:space="preserve"> </w:t>
      </w:r>
      <w:r>
        <w:t xml:space="preserve">&lt; .001,</w:t>
      </w:r>
      <w:r>
        <w:t xml:space="preserve"> </w:t>
      </w:r>
      <w:r>
        <w:rPr>
          <w:i/>
          <w:iCs/>
        </w:rPr>
        <w:t xml:space="preserve">d</w:t>
      </w:r>
      <w:r>
        <w:t xml:space="preserve"> </w:t>
      </w:r>
      <w:r>
        <w:t xml:space="preserve">= −0.26) — while consistent and inconsistent did not differ from each other (MD = 4.15 ms,</w:t>
      </w:r>
      <w:r>
        <w:t xml:space="preserve"> </w:t>
      </w:r>
      <w:r>
        <w:rPr>
          <w:i/>
          <w:iCs/>
        </w:rPr>
        <w:t xml:space="preserve">t</w:t>
      </w:r>
      <w:r>
        <w:t xml:space="preserve">(47) = 1.60,</w:t>
      </w:r>
      <w:r>
        <w:t xml:space="preserve"> </w:t>
      </w:r>
      <w:r>
        <w:rPr>
          <w:i/>
          <w:iCs/>
        </w:rPr>
        <w:t xml:space="preserve">p</w:t>
      </w:r>
      <w:r>
        <w:t xml:space="preserve"> </w:t>
      </w:r>
      <w:r>
        <w:t xml:space="preserve">= .349,</w:t>
      </w:r>
      <w:r>
        <w:t xml:space="preserve"> </w:t>
      </w:r>
      <w:r>
        <w:rPr>
          <w:i/>
          <w:iCs/>
        </w:rPr>
        <w:t xml:space="preserve">d</w:t>
      </w:r>
      <w:r>
        <w:t xml:space="preserve"> </w:t>
      </w:r>
      <w:r>
        <w:t xml:space="preserve">= 0.04). Generally, participants reacted faster to the target appearance whenever an action was required in advance (direction-selection task), though the magnitude of this effect was small (|d| ≈ 0.2–0.26).</w:t>
      </w:r>
    </w:p>
    <w:p>
      <w:pPr>
        <w:pStyle w:val="BodyText"/>
      </w:pPr>
      <w:r>
        <w:t xml:space="preserve">More importantly, the Gaze Congruency × Action Consistency interaction was significant,</w:t>
      </w:r>
      <w:r>
        <w:t xml:space="preserve"> </w:t>
      </w:r>
      <w:r>
        <w:rPr>
          <w:i/>
          <w:iCs/>
        </w:rPr>
        <w:t xml:space="preserve">F</w:t>
      </w:r>
      <w:r>
        <w:t xml:space="preserve">(1.90, 89.38) = 12.17,</w:t>
      </w:r>
      <w:r>
        <w:t xml:space="preserve"> </w:t>
      </w:r>
      <w:r>
        <w:rPr>
          <w:i/>
          <w:iCs/>
        </w:rPr>
        <w:t xml:space="preserve">p</w:t>
      </w:r>
      <w:r>
        <w:t xml:space="preserve"> </w:t>
      </w:r>
      <w:r>
        <w:t xml:space="preserve">&lt; .001, η²ₚ = .206 — unlike in the previous Experiment 1, where the equivalent interaction did not reach significance. Post hoc comparisons conditioned on gaze showed interesting results. In congruent trials (target appeared where the face gazed), participants were fastest in the consistent condition (their chosen direction matched the actual gaze direction — e.g., chose left, gaze went left, target appeared left). The congruent-consistent condition was significantly faster than both inconsistent (MD = −15.19 ms, SE = 4.78,</w:t>
      </w:r>
      <w:r>
        <w:t xml:space="preserve"> </w:t>
      </w:r>
      <w:r>
        <w:rPr>
          <w:i/>
          <w:iCs/>
        </w:rPr>
        <w:t xml:space="preserve">t</w:t>
      </w:r>
      <w:r>
        <w:t xml:space="preserve">(47) = −3.18,</w:t>
      </w:r>
      <w:r>
        <w:t xml:space="preserve"> </w:t>
      </w:r>
      <w:r>
        <w:rPr>
          <w:i/>
          <w:iCs/>
        </w:rPr>
        <w:t xml:space="preserve">p</w:t>
      </w:r>
      <w:r>
        <w:t xml:space="preserve"> </w:t>
      </w:r>
      <w:r>
        <w:t xml:space="preserve">= .008,</w:t>
      </w:r>
      <w:r>
        <w:t xml:space="preserve"> </w:t>
      </w:r>
      <w:r>
        <w:rPr>
          <w:i/>
          <w:iCs/>
        </w:rPr>
        <w:t xml:space="preserve">d</w:t>
      </w:r>
      <w:r>
        <w:t xml:space="preserve"> </w:t>
      </w:r>
      <w:r>
        <w:t xml:space="preserve">= −0.16) and control (MD = −27.96 ms, SE = 7.38,</w:t>
      </w:r>
      <w:r>
        <w:t xml:space="preserve"> </w:t>
      </w:r>
      <w:r>
        <w:rPr>
          <w:i/>
          <w:iCs/>
        </w:rPr>
        <w:t xml:space="preserve">t</w:t>
      </w:r>
      <w:r>
        <w:t xml:space="preserve">(47) = −3.79,</w:t>
      </w:r>
      <w:r>
        <w:t xml:space="preserve"> </w:t>
      </w:r>
      <w:r>
        <w:rPr>
          <w:i/>
          <w:iCs/>
        </w:rPr>
        <w:t xml:space="preserve">p</w:t>
      </w:r>
      <w:r>
        <w:t xml:space="preserve"> </w:t>
      </w:r>
      <w:r>
        <w:t xml:space="preserve">= .001,</w:t>
      </w:r>
      <w:r>
        <w:t xml:space="preserve"> </w:t>
      </w:r>
      <w:r>
        <w:rPr>
          <w:i/>
          <w:iCs/>
        </w:rPr>
        <w:t xml:space="preserve">d</w:t>
      </w:r>
      <w:r>
        <w:t xml:space="preserve"> </w:t>
      </w:r>
      <w:r>
        <w:t xml:space="preserve">= −0.29); inconsistent and control did not differ significantly from each other (MD = −12.77 ms,</w:t>
      </w:r>
      <w:r>
        <w:t xml:space="preserve"> </w:t>
      </w:r>
      <w:r>
        <w:rPr>
          <w:i/>
          <w:iCs/>
        </w:rPr>
        <w:t xml:space="preserve">t</w:t>
      </w:r>
      <w:r>
        <w:t xml:space="preserve">(47) = −1.89,</w:t>
      </w:r>
      <w:r>
        <w:t xml:space="preserve"> </w:t>
      </w:r>
      <w:r>
        <w:rPr>
          <w:i/>
          <w:iCs/>
        </w:rPr>
        <w:t xml:space="preserve">p</w:t>
      </w:r>
      <w:r>
        <w:t xml:space="preserve"> </w:t>
      </w:r>
      <w:r>
        <w:t xml:space="preserve">= .195). In incongruent trials, the pattern flipped: the inconsistent condition — where the chosen direction did not match the gaze (e.g., chose left, gaze went right, target appeared left) — was now fastest, significantly faster than both consistent (MD = 23.49 ms, SE = 5.25,</w:t>
      </w:r>
      <w:r>
        <w:t xml:space="preserve"> </w:t>
      </w:r>
      <w:r>
        <w:rPr>
          <w:i/>
          <w:iCs/>
        </w:rPr>
        <w:t xml:space="preserve">t</w:t>
      </w:r>
      <w:r>
        <w:t xml:space="preserve">(47) = 4.48,</w:t>
      </w:r>
      <w:r>
        <w:t xml:space="preserve"> </w:t>
      </w:r>
      <w:r>
        <w:rPr>
          <w:i/>
          <w:iCs/>
        </w:rPr>
        <w:t xml:space="preserve">p</w:t>
      </w:r>
      <w:r>
        <w:t xml:space="preserve"> </w:t>
      </w:r>
      <w:r>
        <w:t xml:space="preserve">&lt; .001,</w:t>
      </w:r>
      <w:r>
        <w:t xml:space="preserve"> </w:t>
      </w:r>
      <w:r>
        <w:rPr>
          <w:i/>
          <w:iCs/>
        </w:rPr>
        <w:t xml:space="preserve">d</w:t>
      </w:r>
      <w:r>
        <w:t xml:space="preserve"> </w:t>
      </w:r>
      <w:r>
        <w:t xml:space="preserve">= 0.25) and control (MD = −36.40 ms, SE = 7.50,</w:t>
      </w:r>
      <w:r>
        <w:t xml:space="preserve"> </w:t>
      </w:r>
      <w:r>
        <w:rPr>
          <w:i/>
          <w:iCs/>
        </w:rPr>
        <w:t xml:space="preserve">t</w:t>
      </w:r>
      <w:r>
        <w:t xml:space="preserve">(47) = −4.85,</w:t>
      </w:r>
      <w:r>
        <w:t xml:space="preserve"> </w:t>
      </w:r>
      <w:r>
        <w:rPr>
          <w:i/>
          <w:iCs/>
        </w:rPr>
        <w:t xml:space="preserve">p</w:t>
      </w:r>
      <w:r>
        <w:t xml:space="preserve"> </w:t>
      </w:r>
      <w:r>
        <w:t xml:space="preserve">&lt; .001,</w:t>
      </w:r>
      <w:r>
        <w:t xml:space="preserve"> </w:t>
      </w:r>
      <w:r>
        <w:rPr>
          <w:i/>
          <w:iCs/>
        </w:rPr>
        <w:t xml:space="preserve">d</w:t>
      </w:r>
      <w:r>
        <w:t xml:space="preserve"> </w:t>
      </w:r>
      <w:r>
        <w:t xml:space="preserve">= −0.38); consistent and control here did not differ significantly (MD = −12.91 ms,</w:t>
      </w:r>
      <w:r>
        <w:t xml:space="preserve"> </w:t>
      </w:r>
      <w:r>
        <w:rPr>
          <w:i/>
          <w:iCs/>
        </w:rPr>
        <w:t xml:space="preserve">t</w:t>
      </w:r>
      <w:r>
        <w:t xml:space="preserve">(47) = −1.96,</w:t>
      </w:r>
      <w:r>
        <w:t xml:space="preserve"> </w:t>
      </w:r>
      <w:r>
        <w:rPr>
          <w:i/>
          <w:iCs/>
        </w:rPr>
        <w:t xml:space="preserve">p</w:t>
      </w:r>
      <w:r>
        <w:t xml:space="preserve"> </w:t>
      </w:r>
      <w:r>
        <w:t xml:space="preserve">= .168).</w:t>
      </w:r>
    </w:p>
    <w:p>
      <w:pPr>
        <w:pStyle w:val="BodyText"/>
      </w:pPr>
      <w:r>
        <w:t xml:space="preserve">Post hoc comparisons conditioned on action showed faster responses for congruent trials within the consistent condition (27.92 ms,</w:t>
      </w:r>
      <w:r>
        <w:t xml:space="preserve"> </w:t>
      </w:r>
      <w:r>
        <w:rPr>
          <w:i/>
          <w:iCs/>
        </w:rPr>
        <w:t xml:space="preserve">SE</w:t>
      </w:r>
      <w:r>
        <w:t xml:space="preserve"> </w:t>
      </w:r>
      <w:r>
        <w:t xml:space="preserve">= 4.76,</w:t>
      </w:r>
      <w:r>
        <w:t xml:space="preserve"> </w:t>
      </w:r>
      <w:r>
        <w:rPr>
          <w:i/>
          <w:iCs/>
        </w:rPr>
        <w:t xml:space="preserve">t</w:t>
      </w:r>
      <w:r>
        <w:t xml:space="preserve">(47) = 5.86,</w:t>
      </w:r>
      <w:r>
        <w:t xml:space="preserve"> </w:t>
      </w:r>
      <w:r>
        <w:rPr>
          <w:i/>
          <w:iCs/>
        </w:rPr>
        <w:t xml:space="preserve">p</w:t>
      </w:r>
      <w:r>
        <w:t xml:space="preserve"> </w:t>
      </w:r>
      <w:r>
        <w:t xml:space="preserve">&lt; .001,</w:t>
      </w:r>
      <w:r>
        <w:t xml:space="preserve"> </w:t>
      </w:r>
      <w:r>
        <w:rPr>
          <w:i/>
          <w:iCs/>
        </w:rPr>
        <w:t xml:space="preserve">d</w:t>
      </w:r>
      <w:r>
        <w:t xml:space="preserve"> </w:t>
      </w:r>
      <w:r>
        <w:t xml:space="preserve">= 0.30) and within the control condition (12.87 ms,</w:t>
      </w:r>
      <w:r>
        <w:t xml:space="preserve"> </w:t>
      </w:r>
      <w:r>
        <w:rPr>
          <w:i/>
          <w:iCs/>
        </w:rPr>
        <w:t xml:space="preserve">SE</w:t>
      </w:r>
      <w:r>
        <w:t xml:space="preserve"> </w:t>
      </w:r>
      <w:r>
        <w:t xml:space="preserve">= 4.83,</w:t>
      </w:r>
      <w:r>
        <w:t xml:space="preserve"> </w:t>
      </w:r>
      <w:r>
        <w:rPr>
          <w:i/>
          <w:iCs/>
        </w:rPr>
        <w:t xml:space="preserve">t</w:t>
      </w:r>
      <w:r>
        <w:t xml:space="preserve">(47) = 2.66,</w:t>
      </w:r>
      <w:r>
        <w:t xml:space="preserve"> </w:t>
      </w:r>
      <w:r>
        <w:rPr>
          <w:i/>
          <w:iCs/>
        </w:rPr>
        <w:t xml:space="preserve">p</w:t>
      </w:r>
      <w:r>
        <w:t xml:space="preserve"> </w:t>
      </w:r>
      <w:r>
        <w:t xml:space="preserve">= .011,</w:t>
      </w:r>
      <w:r>
        <w:t xml:space="preserve"> </w:t>
      </w:r>
      <w:r>
        <w:rPr>
          <w:i/>
          <w:iCs/>
        </w:rPr>
        <w:t xml:space="preserve">d</w:t>
      </w:r>
      <w:r>
        <w:t xml:space="preserve"> </w:t>
      </w:r>
      <w:r>
        <w:t xml:space="preserve">= 0.13), but in the inconsistent condition the GC effect was numerically reversed and did not reach significance (−10.76 ms,</w:t>
      </w:r>
      <w:r>
        <w:t xml:space="preserve"> </w:t>
      </w:r>
      <w:r>
        <w:rPr>
          <w:i/>
          <w:iCs/>
        </w:rPr>
        <w:t xml:space="preserve">SE</w:t>
      </w:r>
      <w:r>
        <w:t xml:space="preserve"> </w:t>
      </w:r>
      <w:r>
        <w:t xml:space="preserve">= 5.81,</w:t>
      </w:r>
      <w:r>
        <w:t xml:space="preserve"> </w:t>
      </w:r>
      <w:r>
        <w:rPr>
          <w:i/>
          <w:iCs/>
        </w:rPr>
        <w:t xml:space="preserve">t</w:t>
      </w:r>
      <w:r>
        <w:t xml:space="preserve">(47) = 1.85,</w:t>
      </w:r>
      <w:r>
        <w:t xml:space="preserve"> </w:t>
      </w:r>
      <w:r>
        <w:rPr>
          <w:i/>
          <w:iCs/>
        </w:rPr>
        <w:t xml:space="preserve">p</w:t>
      </w:r>
      <w:r>
        <w:t xml:space="preserve"> </w:t>
      </w:r>
      <w:r>
        <w:t xml:space="preserve">= .070,</w:t>
      </w:r>
      <w:r>
        <w:t xml:space="preserve"> </w:t>
      </w:r>
      <w:r>
        <w:rPr>
          <w:i/>
          <w:iCs/>
        </w:rPr>
        <w:t xml:space="preserve">d</w:t>
      </w:r>
      <w:r>
        <w:t xml:space="preserve"> </w:t>
      </w:r>
      <w:r>
        <w:t xml:space="preserve">= 0.12).</w:t>
      </w:r>
    </w:p>
    <w:p>
      <w:pPr>
        <w:pStyle w:val="BodyText"/>
      </w:pPr>
      <w:r>
        <w:t xml:space="preserve">Together, these results indicate that the magnitude of the gaze-cueing effect varied across action-consistency conditions: the standard GC effect (congruency advantage) held reliably when participants either made a matching choice (consistent) or no choice at all (control), consistent with the pattern observed in Experiment 1. Unlike in Experiment 1, however, this advantage did not merely weaken but numerically reversed in the inconsistent condition, with incongruent trials faster than congruent ones.</w:t>
      </w:r>
    </w:p>
    <w:p>
      <w:pPr>
        <w:pStyle w:val="BodyText"/>
      </w:pPr>
      <w:r>
        <w:rPr>
          <w:b/>
          <w:bCs/>
        </w:rPr>
        <w:t xml:space="preserve">ANCOVA Results</w:t>
      </w:r>
    </w:p>
    <w:p>
      <w:pPr>
        <w:pStyle w:val="BodyText"/>
      </w:pPr>
      <w:r>
        <w:t xml:space="preserve">As in Experiment 1, a repeated-measures ANCOVA was conducted with mean initiation time included as a covariate. The main effects of Gaze,</w:t>
      </w:r>
      <w:r>
        <w:t xml:space="preserve"> </w:t>
      </w:r>
      <w:r>
        <w:rPr>
          <w:i/>
          <w:iCs/>
        </w:rPr>
        <w:t xml:space="preserve">F</w:t>
      </w:r>
      <w:r>
        <w:t xml:space="preserve">(1, 46) = 17.95,</w:t>
      </w:r>
      <w:r>
        <w:t xml:space="preserve"> </w:t>
      </w:r>
      <w:r>
        <w:rPr>
          <w:i/>
          <w:iCs/>
        </w:rPr>
        <w:t xml:space="preserve">p</w:t>
      </w:r>
      <w:r>
        <w:t xml:space="preserve"> </w:t>
      </w:r>
      <w:r>
        <w:t xml:space="preserve">&lt; .001, η²ₚ = .281, and Action,</w:t>
      </w:r>
      <w:r>
        <w:t xml:space="preserve"> </w:t>
      </w:r>
      <w:r>
        <w:rPr>
          <w:i/>
          <w:iCs/>
        </w:rPr>
        <w:t xml:space="preserve">F</w:t>
      </w:r>
      <w:r>
        <w:t xml:space="preserve">(1.36, 62.64) = 16.29,</w:t>
      </w:r>
      <w:r>
        <w:t xml:space="preserve"> </w:t>
      </w:r>
      <w:r>
        <w:rPr>
          <w:i/>
          <w:iCs/>
        </w:rPr>
        <w:t xml:space="preserve">p</w:t>
      </w:r>
      <w:r>
        <w:t xml:space="preserve"> </w:t>
      </w:r>
      <w:r>
        <w:t xml:space="preserve">&lt; .001, η²ₚ = .262, and the Gaze × Action interaction,</w:t>
      </w:r>
      <w:r>
        <w:t xml:space="preserve"> </w:t>
      </w:r>
      <w:r>
        <w:rPr>
          <w:i/>
          <w:iCs/>
        </w:rPr>
        <w:t xml:space="preserve">F</w:t>
      </w:r>
      <w:r>
        <w:t xml:space="preserve">(1.90, 87.46) = 11.92,</w:t>
      </w:r>
      <w:r>
        <w:t xml:space="preserve"> </w:t>
      </w:r>
      <w:r>
        <w:rPr>
          <w:i/>
          <w:iCs/>
        </w:rPr>
        <w:t xml:space="preserve">p</w:t>
      </w:r>
      <w:r>
        <w:t xml:space="preserve"> </w:t>
      </w:r>
      <w:r>
        <w:t xml:space="preserve">&lt; .001, η²ₚ = .206, all remained significant and closely matched their plain-rANOVA counterparts above. The Action × covariate interaction also reached significance (</w:t>
      </w:r>
      <w:r>
        <w:rPr>
          <w:i/>
          <w:iCs/>
        </w:rPr>
        <w:t xml:space="preserve">F</w:t>
      </w:r>
      <w:r>
        <w:t xml:space="preserve">(1.36, 62.64) = 11.65,</w:t>
      </w:r>
      <w:r>
        <w:t xml:space="preserve"> </w:t>
      </w:r>
      <w:r>
        <w:rPr>
          <w:i/>
          <w:iCs/>
        </w:rPr>
        <w:t xml:space="preserve">p</w:t>
      </w:r>
      <w:r>
        <w:t xml:space="preserve"> </w:t>
      </w:r>
      <w:r>
        <w:t xml:space="preserve">&lt; .001), likely because initiation time means something different in the no-action control condition; it should not be interpreted theoretically.</w:t>
      </w:r>
    </w:p>
    <w:p>
      <w:pPr>
        <w:pStyle w:val="BodyText"/>
      </w:pPr>
      <w:r>
        <w:t xml:space="preserve">In short, including mean initiation time as a covariate did not change the overall pattern of results.</w:t>
      </w:r>
    </w:p>
    <w:p>
      <w:pPr>
        <w:pStyle w:val="BodyText"/>
      </w:pPr>
      <w:r>
        <w:rPr>
          <w:b/>
          <w:bCs/>
        </w:rPr>
        <w:t xml:space="preserve">Correlation</w:t>
      </w:r>
    </w:p>
    <w:p>
      <w:pPr>
        <w:pStyle w:val="BodyText"/>
      </w:pPr>
      <w:r>
        <w:t xml:space="preserve">Pearson correlations among the six RT conditions and mean initiation time were computed. Across all six conditions, initiation time was positively correlated with RT (</w:t>
      </w:r>
      <w:r>
        <w:rPr>
          <w:i/>
          <w:iCs/>
        </w:rPr>
        <w:t xml:space="preserve">r</w:t>
      </w:r>
      <w:r>
        <w:t xml:space="preserve"> </w:t>
      </w:r>
      <w:r>
        <w:t xml:space="preserve">= .50–.65, all</w:t>
      </w:r>
      <w:r>
        <w:t xml:space="preserve"> </w:t>
      </w:r>
      <w:r>
        <w:rPr>
          <w:i/>
          <w:iCs/>
        </w:rPr>
        <w:t xml:space="preserve">p</w:t>
      </w:r>
      <w:r>
        <w:t xml:space="preserve"> </w:t>
      </w:r>
      <w:r>
        <w:t xml:space="preserve">&lt; .001): participants with longer mean initiation times also tended to have longer mean target RTs, indicating a positive between-participant association in Experiment 2. This pattern differed from Experiment 1, where no correlation was observed in the active conditions. Within Experiment 2, control correlated somewhat more strongly (</w:t>
      </w:r>
      <w:r>
        <w:rPr>
          <w:i/>
          <w:iCs/>
        </w:rPr>
        <w:t xml:space="preserve">r</w:t>
      </w:r>
      <w:r>
        <w:t xml:space="preserve"> </w:t>
      </w:r>
      <w:r>
        <w:t xml:space="preserve">≈ .65) than the active conditions (</w:t>
      </w:r>
      <w:r>
        <w:rPr>
          <w:i/>
          <w:iCs/>
        </w:rPr>
        <w:t xml:space="preserve">r</w:t>
      </w:r>
      <w:r>
        <w:t xml:space="preserve"> </w:t>
      </w:r>
      <w:r>
        <w:t xml:space="preserve">≈ .50–.55). This descriptively stronger correlation in the control condition may reflect variation in target RT rather than initiation time itself. (this last part is not like that in exp 3, so maybe I will delete it - the control having greater correlation)</w:t>
      </w:r>
    </w:p>
    <w:p>
      <w:pPr>
        <w:pStyle w:val="BodyText"/>
      </w:pPr>
      <w:r>
        <w:rPr>
          <w:b/>
          <w:bCs/>
        </w:rPr>
        <w:t xml:space="preserve">Questionary data</w:t>
      </w:r>
    </w:p>
    <w:p>
      <w:pPr>
        <w:pStyle w:val="BodyText"/>
      </w:pPr>
      <w:r>
        <w:rPr>
          <w:b/>
          <w:bCs/>
        </w:rPr>
        <w:t xml:space="preserve">Descriptives</w:t>
      </w:r>
    </w:p>
    <w:p>
      <w:pPr>
        <w:pStyle w:val="BodyText"/>
      </w:pPr>
      <w:r>
        <w:t xml:space="preserve">As in Experiment 1, the same three questions were answered on a seven-point Likert scale. Ratings followed the same ordering seen in Experiment 1 — consistent &gt; inconsistent &gt; control — but were compressed into a narrower and lower range throughout. Descriptive statistics for all questionnaire items across the three action-consistency conditions are presented in Table X.</w:t>
      </w:r>
    </w:p>
    <w:tbl>
      <w:tblPr>
        <w:tblStyle w:val="Table"/>
        <w:tblW w:type="pct" w:w="5000"/>
        <w:tblLayout w:type="fixed"/>
        <w:tblLook w:firstRow="1" w:lastRow="0" w:firstColumn="0" w:lastColumn="0" w:noHBand="0" w:noVBand="0" w:val="0020"/>
      </w:tblPr>
      <w:tblGrid>
        <w:gridCol w:w="1142"/>
        <w:gridCol w:w="1675"/>
        <w:gridCol w:w="1903"/>
        <w:gridCol w:w="1599"/>
        <w:gridCol w:w="1599"/>
      </w:tblGrid>
      <w:tr>
        <w:trPr>
          <w:tblHeader w:val="on"/>
        </w:trPr>
        <w:tc>
          <w:tcPr/>
          <w:p>
            <w:pPr>
              <w:pStyle w:val="Compact"/>
              <w:jc w:val="left"/>
            </w:pPr>
            <w:r>
              <w:t xml:space="preserve">Question type</w:t>
            </w:r>
          </w:p>
        </w:tc>
        <w:tc>
          <w:tcPr/>
          <w:p>
            <w:pPr>
              <w:pStyle w:val="Compact"/>
              <w:jc w:val="center"/>
            </w:pPr>
            <w:r>
              <w:t xml:space="preserve">Consistent (M ± SD)</w:t>
            </w:r>
          </w:p>
        </w:tc>
        <w:tc>
          <w:tcPr/>
          <w:p>
            <w:pPr>
              <w:pStyle w:val="Compact"/>
              <w:jc w:val="center"/>
            </w:pPr>
            <w:r>
              <w:t xml:space="preserve">Inconsistent (M ± SD)</w:t>
            </w:r>
          </w:p>
        </w:tc>
        <w:tc>
          <w:tcPr/>
          <w:p>
            <w:pPr>
              <w:pStyle w:val="Compact"/>
              <w:jc w:val="center"/>
            </w:pPr>
            <w:r>
              <w:t xml:space="preserve">Control (M ± SD)</w:t>
            </w:r>
          </w:p>
        </w:tc>
        <w:tc>
          <w:tcPr/>
          <w:p>
            <w:pPr>
              <w:pStyle w:val="Compact"/>
              <w:jc w:val="center"/>
            </w:pPr>
            <w:r>
              <w:t xml:space="preserve">Overall (M ± SD)</w:t>
            </w:r>
          </w:p>
        </w:tc>
      </w:tr>
      <w:tr>
        <w:tc>
          <w:tcPr/>
          <w:p>
            <w:pPr>
              <w:pStyle w:val="Compact"/>
              <w:jc w:val="left"/>
            </w:pPr>
            <w:r>
              <w:t xml:space="preserve">Caused</w:t>
            </w:r>
          </w:p>
        </w:tc>
        <w:tc>
          <w:tcPr/>
          <w:p>
            <w:pPr>
              <w:pStyle w:val="Compact"/>
              <w:jc w:val="center"/>
            </w:pPr>
            <w:r>
              <w:t xml:space="preserve">3.88 ± 1.59</w:t>
            </w:r>
          </w:p>
        </w:tc>
        <w:tc>
          <w:tcPr/>
          <w:p>
            <w:pPr>
              <w:pStyle w:val="Compact"/>
              <w:jc w:val="center"/>
            </w:pPr>
            <w:r>
              <w:t xml:space="preserve">3.76 ± 1.53</w:t>
            </w:r>
          </w:p>
        </w:tc>
        <w:tc>
          <w:tcPr/>
          <w:p>
            <w:pPr>
              <w:pStyle w:val="Compact"/>
              <w:jc w:val="center"/>
            </w:pPr>
            <w:r>
              <w:t xml:space="preserve">2.18 ± 1.07</w:t>
            </w:r>
          </w:p>
        </w:tc>
        <w:tc>
          <w:tcPr/>
          <w:p>
            <w:pPr>
              <w:pStyle w:val="Compact"/>
              <w:jc w:val="center"/>
            </w:pPr>
            <w:r>
              <w:t xml:space="preserve">3.27 ± 1.07</w:t>
            </w:r>
          </w:p>
        </w:tc>
      </w:tr>
      <w:tr>
        <w:tc>
          <w:tcPr/>
          <w:p>
            <w:pPr>
              <w:pStyle w:val="Compact"/>
              <w:jc w:val="left"/>
            </w:pPr>
            <w:r>
              <w:t xml:space="preserve">Controlled</w:t>
            </w:r>
          </w:p>
        </w:tc>
        <w:tc>
          <w:tcPr/>
          <w:p>
            <w:pPr>
              <w:pStyle w:val="Compact"/>
              <w:jc w:val="center"/>
            </w:pPr>
            <w:r>
              <w:t xml:space="preserve">3.32 ± 1.35</w:t>
            </w:r>
          </w:p>
        </w:tc>
        <w:tc>
          <w:tcPr/>
          <w:p>
            <w:pPr>
              <w:pStyle w:val="Compact"/>
              <w:jc w:val="center"/>
            </w:pPr>
            <w:r>
              <w:t xml:space="preserve">3.07 ± 1.27</w:t>
            </w:r>
          </w:p>
        </w:tc>
        <w:tc>
          <w:tcPr/>
          <w:p>
            <w:pPr>
              <w:pStyle w:val="Compact"/>
              <w:jc w:val="center"/>
            </w:pPr>
            <w:r>
              <w:t xml:space="preserve">2.30 ± 1.33</w:t>
            </w:r>
          </w:p>
        </w:tc>
        <w:tc>
          <w:tcPr/>
          <w:p>
            <w:pPr>
              <w:pStyle w:val="Compact"/>
              <w:jc w:val="center"/>
            </w:pPr>
            <w:r>
              <w:t xml:space="preserve">2.89 ± 1.16</w:t>
            </w:r>
          </w:p>
        </w:tc>
      </w:tr>
      <w:tr>
        <w:tc>
          <w:tcPr/>
          <w:p>
            <w:pPr>
              <w:pStyle w:val="Compact"/>
              <w:jc w:val="left"/>
            </w:pPr>
            <w:r>
              <w:t xml:space="preserve">Predicted</w:t>
            </w:r>
          </w:p>
        </w:tc>
        <w:tc>
          <w:tcPr/>
          <w:p>
            <w:pPr>
              <w:pStyle w:val="Compact"/>
              <w:jc w:val="center"/>
            </w:pPr>
            <w:r>
              <w:t xml:space="preserve">3.69 ± 1.14</w:t>
            </w:r>
          </w:p>
        </w:tc>
        <w:tc>
          <w:tcPr/>
          <w:p>
            <w:pPr>
              <w:pStyle w:val="Compact"/>
              <w:jc w:val="center"/>
            </w:pPr>
            <w:r>
              <w:t xml:space="preserve">3.40 ± 1.04</w:t>
            </w:r>
          </w:p>
        </w:tc>
        <w:tc>
          <w:tcPr/>
          <w:p>
            <w:pPr>
              <w:pStyle w:val="Compact"/>
              <w:jc w:val="center"/>
            </w:pPr>
            <w:r>
              <w:t xml:space="preserve">2.98 ± 1.25</w:t>
            </w:r>
          </w:p>
        </w:tc>
        <w:tc>
          <w:tcPr/>
          <w:p>
            <w:pPr>
              <w:pStyle w:val="Compact"/>
              <w:jc w:val="center"/>
            </w:pPr>
            <w:r>
              <w:t xml:space="preserve">3.36 ± 0.90</w:t>
            </w:r>
          </w:p>
        </w:tc>
      </w:tr>
      <w:tr>
        <w:tc>
          <w:tcPr/>
          <w:p>
            <w:pPr>
              <w:pStyle w:val="Compact"/>
              <w:jc w:val="left"/>
            </w:pPr>
            <w:r>
              <w:t xml:space="preserve">Overall</w:t>
            </w:r>
          </w:p>
        </w:tc>
        <w:tc>
          <w:tcPr/>
          <w:p>
            <w:pPr>
              <w:pStyle w:val="Compact"/>
              <w:jc w:val="center"/>
            </w:pPr>
            <w:r>
              <w:t xml:space="preserve">3.63 ± 1.00</w:t>
            </w:r>
          </w:p>
        </w:tc>
        <w:tc>
          <w:tcPr/>
          <w:p>
            <w:pPr>
              <w:pStyle w:val="Compact"/>
              <w:jc w:val="center"/>
            </w:pPr>
            <w:r>
              <w:t xml:space="preserve">3.41 ± 0.89</w:t>
            </w:r>
          </w:p>
        </w:tc>
        <w:tc>
          <w:tcPr/>
          <w:p>
            <w:pPr>
              <w:pStyle w:val="Compact"/>
              <w:jc w:val="center"/>
            </w:pPr>
            <w:r>
              <w:t xml:space="preserve">2.49 ± 1.02</w:t>
            </w:r>
          </w:p>
        </w:tc>
        <w:tc>
          <w:tcPr/>
          <w:p>
            <w:pPr>
              <w:pStyle w:val="Compact"/>
              <w:jc w:val="center"/>
            </w:pPr>
            <w:r>
              <w:t xml:space="preserve">3.17 ± 0.75</w:t>
            </w:r>
          </w:p>
        </w:tc>
      </w:tr>
    </w:tbl>
    <w:p>
      <w:pPr>
        <w:pStyle w:val="BodyText"/>
      </w:pPr>
      <w:r>
        <w:t xml:space="preserve">Table X. Mean point results from Questionary data by condition and item (question), Experiment 2.</w:t>
      </w:r>
    </w:p>
    <w:p>
      <w:pPr>
        <w:pStyle w:val="BodyText"/>
      </w:pPr>
      <w:r>
        <w:rPr>
          <w:b/>
          <w:bCs/>
        </w:rPr>
        <w:t xml:space="preserve">Analyses</w:t>
      </w:r>
    </w:p>
    <w:p>
      <w:pPr>
        <w:pStyle w:val="BodyText"/>
      </w:pPr>
      <w:r>
        <w:t xml:space="preserve">As in Experiment 1, ratings were submitted to a 3 (Question type: caused, controlled, predicted) × 3 (Action Consistency: consistent, inconsistent, control) repeated-measures ANOVA, with Greenhouse–Geisser correction applied to all within-subject terms with more than one degree of freedom.</w:t>
      </w:r>
    </w:p>
    <w:p>
      <w:pPr>
        <w:pStyle w:val="BodyText"/>
      </w:pPr>
      <w:r>
        <w:t xml:space="preserve">The ANOVA revealed a significant main effect of Action Consistency,</w:t>
      </w:r>
      <w:r>
        <w:t xml:space="preserve"> </w:t>
      </w:r>
      <w:r>
        <w:rPr>
          <w:i/>
          <w:iCs/>
        </w:rPr>
        <w:t xml:space="preserve">F</w:t>
      </w:r>
      <w:r>
        <w:t xml:space="preserve">(1.73, 81.10) = 30.57,</w:t>
      </w:r>
      <w:r>
        <w:t xml:space="preserve"> </w:t>
      </w:r>
      <w:r>
        <w:rPr>
          <w:i/>
          <w:iCs/>
        </w:rPr>
        <w:t xml:space="preserve">p</w:t>
      </w:r>
      <w:r>
        <w:t xml:space="preserve"> </w:t>
      </w:r>
      <w:r>
        <w:t xml:space="preserve">&lt; .001, η²ₚ = .394, though with a substantially smaller effect size than the η²ₚ = .673 found in Experiment 1. The follow-up post hoc comparisons revealed the same direction of ratings — highest for the consistent condition (M = 3.63), followed by the inconsistent condition (M = 3.41), with lower ratings in the control condition (M = 2.49). Unlike in Experiment 1, however, the consistent and inconsistent conditions did not differ significantly from each other (MD = 0.22,</w:t>
      </w:r>
      <w:r>
        <w:t xml:space="preserve"> </w:t>
      </w:r>
      <w:r>
        <w:rPr>
          <w:i/>
          <w:iCs/>
        </w:rPr>
        <w:t xml:space="preserve">t</w:t>
      </w:r>
      <w:r>
        <w:t xml:space="preserve">(47) = 1.74,</w:t>
      </w:r>
      <w:r>
        <w:t xml:space="preserve"> </w:t>
      </w:r>
      <w:r>
        <w:rPr>
          <w:i/>
          <w:iCs/>
        </w:rPr>
        <w:t xml:space="preserve">p</w:t>
      </w:r>
      <w:r>
        <w:t xml:space="preserve"> </w:t>
      </w:r>
      <w:r>
        <w:t xml:space="preserve">= .267), with ratings in the two active conditions nearly overlapping; both remained significantly higher than the control condition (consistent vs. control: MD = 1.14,</w:t>
      </w:r>
      <w:r>
        <w:t xml:space="preserve"> </w:t>
      </w:r>
      <w:r>
        <w:rPr>
          <w:i/>
          <w:iCs/>
        </w:rPr>
        <w:t xml:space="preserve">t</w:t>
      </w:r>
      <w:r>
        <w:t xml:space="preserve">(47) = 6.34,</w:t>
      </w:r>
      <w:r>
        <w:t xml:space="preserve"> </w:t>
      </w:r>
      <w:r>
        <w:rPr>
          <w:i/>
          <w:iCs/>
        </w:rPr>
        <w:t xml:space="preserve">p</w:t>
      </w:r>
      <w:r>
        <w:t xml:space="preserve"> </w:t>
      </w:r>
      <w:r>
        <w:t xml:space="preserve">&lt; .001; inconsistent vs. control: MD = 0.92,</w:t>
      </w:r>
      <w:r>
        <w:t xml:space="preserve"> </w:t>
      </w:r>
      <w:r>
        <w:rPr>
          <w:i/>
          <w:iCs/>
        </w:rPr>
        <w:t xml:space="preserve">t</w:t>
      </w:r>
      <w:r>
        <w:t xml:space="preserve">(47) = 5.97,</w:t>
      </w:r>
      <w:r>
        <w:t xml:space="preserve"> </w:t>
      </w:r>
      <w:r>
        <w:rPr>
          <w:i/>
          <w:iCs/>
        </w:rPr>
        <w:t xml:space="preserve">p</w:t>
      </w:r>
      <w:r>
        <w:t xml:space="preserve"> </w:t>
      </w:r>
      <w:r>
        <w:t xml:space="preserve">&lt; .001). The absence of a reliable difference between the consistent and inconsistent conditions showed that ratings were similarly elevated in both active conditions relative to control.</w:t>
      </w:r>
    </w:p>
    <w:p>
      <w:pPr>
        <w:pStyle w:val="BodyText"/>
      </w:pPr>
      <w:r>
        <w:t xml:space="preserve">A significant main effect of Question type,</w:t>
      </w:r>
      <w:r>
        <w:t xml:space="preserve"> </w:t>
      </w:r>
      <w:r>
        <w:rPr>
          <w:i/>
          <w:iCs/>
        </w:rPr>
        <w:t xml:space="preserve">F</w:t>
      </w:r>
      <w:r>
        <w:t xml:space="preserve">(1.64, 77.01) = 3.52,</w:t>
      </w:r>
      <w:r>
        <w:t xml:space="preserve"> </w:t>
      </w:r>
      <w:r>
        <w:rPr>
          <w:i/>
          <w:iCs/>
        </w:rPr>
        <w:t xml:space="preserve">p</w:t>
      </w:r>
      <w:r>
        <w:t xml:space="preserve"> </w:t>
      </w:r>
      <w:r>
        <w:t xml:space="preserve">= .043, η²ₚ = .070, showed that the three questions again differed in overall level of endorsement, though far more weakly than in Experiment 1 (η²ₚ = .343) — considerably more clustered than in Experiment 1, as detailed below via the significant interaction. The simple main effect of Action Consistency, examined within each item, was significant for all three but far from equal in size: causation showed the largest effect (</w:t>
      </w:r>
      <w:r>
        <w:rPr>
          <w:i/>
          <w:iCs/>
        </w:rPr>
        <w:t xml:space="preserve">F</w:t>
      </w:r>
      <w:r>
        <w:t xml:space="preserve">(2, 94) = 33.06,</w:t>
      </w:r>
      <w:r>
        <w:t xml:space="preserve"> </w:t>
      </w:r>
      <w:r>
        <w:rPr>
          <w:i/>
          <w:iCs/>
        </w:rPr>
        <w:t xml:space="preserve">p</w:t>
      </w:r>
      <w:r>
        <w:t xml:space="preserve"> </w:t>
      </w:r>
      <w:r>
        <w:t xml:space="preserve">&lt; .001, η²ₚ = .413), followed by control (</w:t>
      </w:r>
      <w:r>
        <w:rPr>
          <w:i/>
          <w:iCs/>
        </w:rPr>
        <w:t xml:space="preserve">F</w:t>
      </w:r>
      <w:r>
        <w:t xml:space="preserve">(2, 94) = 23.40,</w:t>
      </w:r>
      <w:r>
        <w:t xml:space="preserve"> </w:t>
      </w:r>
      <w:r>
        <w:rPr>
          <w:i/>
          <w:iCs/>
        </w:rPr>
        <w:t xml:space="preserve">p</w:t>
      </w:r>
      <w:r>
        <w:t xml:space="preserve"> </w:t>
      </w:r>
      <w:r>
        <w:t xml:space="preserve">&lt; .001, η²ₚ = .332), with prediction showing the smallest effect (</w:t>
      </w:r>
      <w:r>
        <w:rPr>
          <w:i/>
          <w:iCs/>
        </w:rPr>
        <w:t xml:space="preserve">F</w:t>
      </w:r>
      <w:r>
        <w:t xml:space="preserve">(2, 94) = 8.32,</w:t>
      </w:r>
      <w:r>
        <w:t xml:space="preserve"> </w:t>
      </w:r>
      <w:r>
        <w:rPr>
          <w:i/>
          <w:iCs/>
        </w:rPr>
        <w:t xml:space="preserve">p</w:t>
      </w:r>
      <w:r>
        <w:t xml:space="preserve"> </w:t>
      </w:r>
      <w:r>
        <w:t xml:space="preserve">&lt; .001, η²ₚ = .150). This separation between prediction and the other two items was descriptively larger than in Experiment 1, pointing to prediction as the item least responsive to the action-consistency manipulation.</w:t>
      </w:r>
    </w:p>
    <w:p>
      <w:pPr>
        <w:pStyle w:val="BodyText"/>
      </w:pPr>
      <w:r>
        <w:t xml:space="preserve">A significant Action Consistency × Question type interaction,</w:t>
      </w:r>
      <w:r>
        <w:t xml:space="preserve"> </w:t>
      </w:r>
      <w:r>
        <w:rPr>
          <w:i/>
          <w:iCs/>
        </w:rPr>
        <w:t xml:space="preserve">F</w:t>
      </w:r>
      <w:r>
        <w:t xml:space="preserve">(2.18, 102.31) = 11.14,</w:t>
      </w:r>
      <w:r>
        <w:t xml:space="preserve"> </w:t>
      </w:r>
      <w:r>
        <w:rPr>
          <w:i/>
          <w:iCs/>
        </w:rPr>
        <w:t xml:space="preserve">p</w:t>
      </w:r>
      <w:r>
        <w:t xml:space="preserve"> </w:t>
      </w:r>
      <w:r>
        <w:t xml:space="preserve">&lt; .001, η²ₚ = .192 was also observed — smaller than in Experiment 1 (η²ₚ = .403). A follow-up post hoc comparison, conditioned on action consistency, showed that within both active conditions the items mostly stayed clustered together: in the consistent condition, only</w:t>
      </w:r>
      <w:r>
        <w:t xml:space="preserve"> </w:t>
      </w:r>
      <w:r>
        <w:rPr>
          <w:b/>
          <w:bCs/>
        </w:rPr>
        <w:t xml:space="preserve">controlled</w:t>
      </w:r>
      <w:r>
        <w:t xml:space="preserve"> </w:t>
      </w:r>
      <w:r>
        <w:t xml:space="preserve">and</w:t>
      </w:r>
      <w:r>
        <w:t xml:space="preserve"> </w:t>
      </w:r>
      <w:r>
        <w:rPr>
          <w:b/>
          <w:bCs/>
        </w:rPr>
        <w:t xml:space="preserve">predicted</w:t>
      </w:r>
      <w:r>
        <w:t xml:space="preserve"> </w:t>
      </w:r>
      <w:r>
        <w:t xml:space="preserve">differed significantly (MD = 0.37,</w:t>
      </w:r>
      <w:r>
        <w:t xml:space="preserve"> </w:t>
      </w:r>
      <w:r>
        <w:rPr>
          <w:i/>
          <w:iCs/>
        </w:rPr>
        <w:t xml:space="preserve">t</w:t>
      </w:r>
      <w:r>
        <w:t xml:space="preserve">(47) = 3.05,</w:t>
      </w:r>
      <w:r>
        <w:t xml:space="preserve"> </w:t>
      </w:r>
      <w:r>
        <w:rPr>
          <w:i/>
          <w:iCs/>
        </w:rPr>
        <w:t xml:space="preserve">p</w:t>
      </w:r>
      <w:r>
        <w:t xml:space="preserve"> </w:t>
      </w:r>
      <w:r>
        <w:t xml:space="preserve">= .011, predicted higher), with no other pair reaching significance; in the inconsistent condition, no pair reached significance. In the control condition, by contrast,</w:t>
      </w:r>
      <w:r>
        <w:t xml:space="preserve"> </w:t>
      </w:r>
      <w:r>
        <w:rPr>
          <w:b/>
          <w:bCs/>
        </w:rPr>
        <w:t xml:space="preserve">predicted</w:t>
      </w:r>
      <w:r>
        <w:t xml:space="preserve"> </w:t>
      </w:r>
      <w:r>
        <w:t xml:space="preserve">was rated significantly higher than both</w:t>
      </w:r>
      <w:r>
        <w:t xml:space="preserve"> </w:t>
      </w:r>
      <w:r>
        <w:rPr>
          <w:b/>
          <w:bCs/>
        </w:rPr>
        <w:t xml:space="preserve">caused</w:t>
      </w:r>
      <w:r>
        <w:t xml:space="preserve"> </w:t>
      </w:r>
      <w:r>
        <w:t xml:space="preserve">(</w:t>
      </w:r>
      <w:r>
        <w:rPr>
          <w:i/>
          <w:iCs/>
        </w:rPr>
        <w:t xml:space="preserve">p</w:t>
      </w:r>
      <w:r>
        <w:t xml:space="preserve"> </w:t>
      </w:r>
      <w:r>
        <w:t xml:space="preserve">&lt; .001) and</w:t>
      </w:r>
      <w:r>
        <w:t xml:space="preserve"> </w:t>
      </w:r>
      <w:r>
        <w:rPr>
          <w:b/>
          <w:bCs/>
        </w:rPr>
        <w:t xml:space="preserve">controlled</w:t>
      </w:r>
      <w:r>
        <w:t xml:space="preserve"> </w:t>
      </w:r>
      <w:r>
        <w:t xml:space="preserve">(</w:t>
      </w:r>
      <w:r>
        <w:rPr>
          <w:i/>
          <w:iCs/>
        </w:rPr>
        <w:t xml:space="preserve">p</w:t>
      </w:r>
      <w:r>
        <w:t xml:space="preserve"> </w:t>
      </w:r>
      <w:r>
        <w:t xml:space="preserve">= .004), while</w:t>
      </w:r>
      <w:r>
        <w:t xml:space="preserve"> </w:t>
      </w:r>
      <w:r>
        <w:rPr>
          <w:b/>
          <w:bCs/>
        </w:rPr>
        <w:t xml:space="preserve">caused</w:t>
      </w:r>
      <w:r>
        <w:t xml:space="preserve"> </w:t>
      </w:r>
      <w:r>
        <w:t xml:space="preserve">and</w:t>
      </w:r>
      <w:r>
        <w:t xml:space="preserve"> </w:t>
      </w:r>
      <w:r>
        <w:rPr>
          <w:b/>
          <w:bCs/>
        </w:rPr>
        <w:t xml:space="preserve">controlled</w:t>
      </w:r>
      <w:r>
        <w:t xml:space="preserve"> </w:t>
      </w:r>
      <w:r>
        <w:t xml:space="preserve">did not differ from each other. This mirrors the overall Action Consistency main effect above: ratings distinguished the control condition from both active conditions, while the two active conditions did not reliably differ from one another.</w:t>
      </w:r>
    </w:p>
    <w:p>
      <w:pPr>
        <w:pStyle w:val="BodyText"/>
      </w:pPr>
      <w:r>
        <w:t xml:space="preserve">Overall, the questionnaire results in Experiment 2 partially diverged from those obtained in the previous experiment. The action-consistency manipulation did not strongly shift explicit sense-of-agency ratings: the three question items were able to discriminate between the active and passive (control) conditions, but not between the two active conditions (consistent and inconsistent) themselves. The three items also showed a different pattern of distinguishability from one another than in Experiment 1 — they were less clearly distinguishable overall, particularly within the active conditions, where no distinction between the controlled and caused items was established. The prediction item differed the most from the other two in that it showed the most stable pattern across conditions, indicating the lowest potential to reflect the action-consistency effect.</w:t>
      </w:r>
    </w:p>
    <w:p>
      <w:pPr>
        <w:pStyle w:val="BodyText"/>
      </w:pPr>
      <w:r>
        <w:t xml:space="preserve">[PLACEHOLDER — density plots of overall ratings per condition and item, Experiment 2, to be added.]</w:t>
      </w:r>
    </w:p>
    <w:p>
      <w:pPr>
        <w:pStyle w:val="BodyText"/>
      </w:pPr>
      <w:r>
        <w:rPr>
          <w:b/>
          <w:bCs/>
        </w:rPr>
        <w:t xml:space="preserve">Correlation</w:t>
      </w:r>
    </w:p>
    <w:p>
      <w:pPr>
        <w:pStyle w:val="BodyText"/>
      </w:pPr>
      <w:r>
        <w:t xml:space="preserve">Questionnaire item scores were within-person centered (ipsatized) before use in the correlation analyses below. The question item-level correlations showed a somewhat different picture than in Experiment 1: rather than the condition-dependent breakdown observed there, the three items formed a more unified, stable construct across all three conditions here, with every pairwise correlation reaching significance in every condition. Data can be seen in table X. Practically, this meant that participants who rated</w:t>
      </w:r>
      <w:r>
        <w:t xml:space="preserve"> </w:t>
      </w:r>
      <w:r>
        <w:t xml:space="preserve">“caused”</w:t>
      </w:r>
      <w:r>
        <w:t xml:space="preserve"> </w:t>
      </w:r>
      <w:r>
        <w:t xml:space="preserve">high in a given condition also tended to rate</w:t>
      </w:r>
      <w:r>
        <w:t xml:space="preserve"> </w:t>
      </w:r>
      <w:r>
        <w:t xml:space="preserve">“controlled”</w:t>
      </w:r>
      <w:r>
        <w:t xml:space="preserve"> </w:t>
      </w:r>
      <w:r>
        <w:t xml:space="preserve">and</w:t>
      </w:r>
      <w:r>
        <w:t xml:space="preserve"> </w:t>
      </w:r>
      <w:r>
        <w:t xml:space="preserve">“predicted”</w:t>
      </w:r>
      <w:r>
        <w:t xml:space="preserve"> </w:t>
      </w:r>
      <w:r>
        <w:t xml:space="preserve">higher in that same condition (relative to their own baseline), and this holds no matter which of the three conditions you look at — the three items move together consistently throughout Exp2, unlike Exp1 where that only held in the two active conditions and broke down in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Consistent</w:t>
            </w:r>
          </w:p>
        </w:tc>
        <w:tc>
          <w:tcPr/>
          <w:p>
            <w:pPr>
              <w:pStyle w:val="Compact"/>
              <w:jc w:val="center"/>
            </w:pPr>
            <w:r>
              <w:t xml:space="preserve">Inconsistent</w:t>
            </w:r>
          </w:p>
        </w:tc>
        <w:tc>
          <w:tcPr/>
          <w:p>
            <w:pPr>
              <w:pStyle w:val="Compact"/>
              <w:jc w:val="center"/>
            </w:pPr>
            <w:r>
              <w:t xml:space="preserve">Control</w:t>
            </w:r>
          </w:p>
        </w:tc>
      </w:tr>
      <w:tr>
        <w:tc>
          <w:tcPr/>
          <w:p>
            <w:pPr>
              <w:pStyle w:val="Compact"/>
            </w:pPr>
            <w:r>
              <w:t xml:space="preserve">controlled ↔ predicted</w:t>
            </w:r>
          </w:p>
        </w:tc>
        <w:tc>
          <w:tcPr/>
          <w:p>
            <w:pPr>
              <w:pStyle w:val="Compact"/>
              <w:jc w:val="center"/>
            </w:pPr>
            <w:r>
              <w:t xml:space="preserve">r = .64</w:t>
            </w:r>
          </w:p>
        </w:tc>
        <w:tc>
          <w:tcPr/>
          <w:p>
            <w:pPr>
              <w:pStyle w:val="Compact"/>
              <w:jc w:val="center"/>
            </w:pPr>
            <w:r>
              <w:t xml:space="preserve">r = .71</w:t>
            </w:r>
          </w:p>
        </w:tc>
        <w:tc>
          <w:tcPr/>
          <w:p>
            <w:pPr>
              <w:pStyle w:val="Compact"/>
              <w:jc w:val="center"/>
            </w:pPr>
            <w:r>
              <w:t xml:space="preserve">r = .60</w:t>
            </w:r>
          </w:p>
        </w:tc>
      </w:tr>
      <w:tr>
        <w:tc>
          <w:tcPr/>
          <w:p>
            <w:pPr>
              <w:pStyle w:val="Compact"/>
            </w:pPr>
            <w:r>
              <w:t xml:space="preserve">caused ↔ controlled</w:t>
            </w:r>
          </w:p>
        </w:tc>
        <w:tc>
          <w:tcPr/>
          <w:p>
            <w:pPr>
              <w:pStyle w:val="Compact"/>
              <w:jc w:val="center"/>
            </w:pPr>
            <w:r>
              <w:t xml:space="preserve">r = .58</w:t>
            </w:r>
          </w:p>
        </w:tc>
        <w:tc>
          <w:tcPr/>
          <w:p>
            <w:pPr>
              <w:pStyle w:val="Compact"/>
              <w:jc w:val="center"/>
            </w:pPr>
            <w:r>
              <w:t xml:space="preserve">r = .47</w:t>
            </w:r>
          </w:p>
        </w:tc>
        <w:tc>
          <w:tcPr/>
          <w:p>
            <w:pPr>
              <w:pStyle w:val="Compact"/>
              <w:jc w:val="center"/>
            </w:pPr>
            <w:r>
              <w:t xml:space="preserve">r = .52</w:t>
            </w:r>
          </w:p>
        </w:tc>
      </w:tr>
      <w:tr>
        <w:tc>
          <w:tcPr/>
          <w:p>
            <w:pPr>
              <w:pStyle w:val="Compact"/>
            </w:pPr>
            <w:r>
              <w:t xml:space="preserve">caused ↔ predicted</w:t>
            </w:r>
          </w:p>
        </w:tc>
        <w:tc>
          <w:tcPr/>
          <w:p>
            <w:pPr>
              <w:pStyle w:val="Compact"/>
              <w:jc w:val="center"/>
            </w:pPr>
            <w:r>
              <w:t xml:space="preserve">r = .50</w:t>
            </w:r>
          </w:p>
        </w:tc>
        <w:tc>
          <w:tcPr/>
          <w:p>
            <w:pPr>
              <w:pStyle w:val="Compact"/>
              <w:jc w:val="center"/>
            </w:pPr>
            <w:r>
              <w:t xml:space="preserve">r = .44</w:t>
            </w:r>
          </w:p>
        </w:tc>
        <w:tc>
          <w:tcPr/>
          <w:p>
            <w:pPr>
              <w:pStyle w:val="Compact"/>
              <w:jc w:val="center"/>
            </w:pPr>
            <w:r>
              <w:t xml:space="preserve">r = .40</w:t>
            </w:r>
          </w:p>
        </w:tc>
      </w:tr>
    </w:tbl>
    <w:p>
      <w:pPr>
        <w:pStyle w:val="BodyText"/>
      </w:pPr>
      <w:r>
        <w:t xml:space="preserve">Table X. Item-item correlations (ipsatized) by condition, Experiment 2. All</w:t>
      </w:r>
      <w:r>
        <w:t xml:space="preserve"> </w:t>
      </w:r>
      <w:r>
        <w:rPr>
          <w:i/>
          <w:iCs/>
        </w:rPr>
        <w:t xml:space="preserve">p</w:t>
      </w:r>
      <w:r>
        <w:t xml:space="preserve"> </w:t>
      </w:r>
      <w:r>
        <w:t xml:space="preserve">≤ .005.</w:t>
      </w:r>
    </w:p>
    <w:p>
      <w:pPr>
        <w:pStyle w:val="BodyText"/>
      </w:pPr>
      <w:r>
        <w:t xml:space="preserve">As in Experiment 1, to examine the relationship between the questionnaire (explicit SoA) data and the implicit gaze-cueing effect, the three items were also averaged per condition into a composite score, which was correlated with the matching implicit gaze-cueing effect, measured through Cohen’s</w:t>
      </w:r>
      <w:r>
        <w:t xml:space="preserve"> </w:t>
      </w:r>
      <w:r>
        <w:rPr>
          <w:i/>
          <w:iCs/>
        </w:rPr>
        <w:t xml:space="preserve">d</w:t>
      </w:r>
      <w:r>
        <w:t xml:space="preserve">. As in Experiment 1, no significant relationship was observed in any condition: consistent (r = .16, p = .288), inconsistent (r = −.18, p = .219), control (r = .12, p = .430).</w:t>
      </w:r>
    </w:p>
    <w:p>
      <w:pPr>
        <w:pStyle w:val="BodyText"/>
      </w:pPr>
      <w:r>
        <w:rPr>
          <w:b/>
          <w:bCs/>
        </w:rPr>
        <w:t xml:space="preserve">Summary</w:t>
      </w:r>
    </w:p>
    <w:p>
      <w:pPr>
        <w:pStyle w:val="BodyText"/>
      </w:pPr>
      <w:r>
        <w:t xml:space="preserve">Experiment 2 replicated two findings from Experiment 1: the overall gaze-cueing effect — faster reactions to gazed-at targets than to targets that were not gazed at — and the main effect of action consistency, whereby, collapsed across gaze congruency, both active conditions were faster than the control condition, while the consistent and inconsistent conditions did not differ from each other.</w:t>
      </w:r>
    </w:p>
    <w:p>
      <w:pPr>
        <w:pStyle w:val="BodyText"/>
      </w:pPr>
      <w:r>
        <w:t xml:space="preserve">Critically, unlike in Experiment 1, the Gaze × Action interaction was significant here. Follow-up analyses showed that the gaze-cueing effect — the tendency to react faster to gazed-at targets — was reliable in the consistent condition, where the gaze direction matched the participant’s selected direction, and in the control condition, where no direction was selected. It was not reliable in the inconsistent condition, where the gaze direction contradicted the selected direction: the effect did not reach statistical significance and was numerically reversed, with faster responses to targets appearing in the participant’s selected direction than to targets appearing in the gaze direction. In Experiment 1, this same condition was also not significant, but there the pattern still numerically favored the gazed-at side rather than reversing — the actual reversal, like the significant interaction itself, is specific to Experiment 2, appearing alongside its richer mouse-movement response. Taken together, these findings suggest that internally generated directional cues may compete with and disrupt the gaze-cueing effect when they conflict with external gaze cues, and that this disruption intensifies with a more elaborate action.</w:t>
      </w:r>
    </w:p>
    <w:p>
      <w:pPr>
        <w:pStyle w:val="BodyText"/>
      </w:pPr>
      <w:r>
        <w:t xml:space="preserve">As in Experiment 1, including mean initiation time as a covariate, to account for individual differences in the interval between face onset and directional selection, and thus in overall pre-target temporal preparation and temporal-binding-related effects, did not change the overall pattern of results. The Gaze × Action interaction was therefore not explained by differences in how long participants took to make their directional selection.</w:t>
      </w:r>
    </w:p>
    <w:p>
      <w:pPr>
        <w:pStyle w:val="BodyText"/>
      </w:pPr>
      <w:r>
        <w:t xml:space="preserve">Mean initiation time was positively correlated with target RT across all six conditions in Experiment 2, unlike in Experiment 1, where no such correlation was found within the active conditions. This difference is more likely due to the different response method than to differences in variance: initiation-time SD was nearly identical across experiments (259.8 ms vs. 246.4 ms), ruling out range restriction. A keypress is fast and near-ballistic, and such measures tend to have poor individual-differences reliability despite robust group effects (Hedge, Powell, &amp; Sumner, 2018); a mouse-click reach instead samples the underlying process continuously and richly (Freeman &amp; Ambady, 2010), making it the more reliable trait-level measure. Even so, this shared general-speed relationship did not translate into a meaningful effect of temporal prediction on the difference between consistent and inconsistent RTs specifically — reinforcing that the Gaze × Action interaction reflects genuine intentionality/direction-matching rather than an artifact of timing-based prediction.</w:t>
      </w:r>
    </w:p>
    <w:p>
      <w:pPr>
        <w:pStyle w:val="BodyText"/>
      </w:pPr>
      <w:r>
        <w:t xml:space="preserve">One notable finding to emerge from the correlation analysis is that these correlations were numerically stronger within the control conditions. [For Armina — a possible explanation is that active trials require switching from the mouse-click reach to the keypress response, a transition carrying its own reprogramming cost independent of general processing speed (Philipp &amp; Koch, 2005), whereas control trials involve no such switch, allowing the shared speed trait to emerge more clearly. However, this does not replicate in Experiment 3: there, the pattern is reversed — active conditions show the stronger correlation with initiation time (r ≈ .64–.66) and control the weaker one (r ≈ .52), the opposite of Experiment 2 (r ≈ .50–.55 active vs. ≈ .65 control), and the reversal is itself statistically significant (t(46) = −3.16, p = .003). Given it doesn’t hold across experiments, this may not be a genuine effector-switching effect — flagging for your judgment on whether to keep, drop, or reframe this explanation.]</w:t>
      </w:r>
    </w:p>
    <w:p>
      <w:pPr>
        <w:pStyle w:val="BodyText"/>
      </w:pPr>
      <w:r>
        <w:t xml:space="preserve">Regarding the questionnaire results, several patterns stood out. Participants rated the two active conditions similarly despite the action–outcome mismatch, possibly because the richer motor movement in Experiment 2 made the mismatch too weak to override the effect of simply having acted — consistent with cue-integration accounts of sense of agency, where multiple cues are weighted by reliability (Synofzik, Vosgerau, &amp; Newen, 2008).{this is again not so in exp 3 so maybe again should be dropped}</w:t>
      </w:r>
    </w:p>
    <w:p>
      <w:pPr>
        <w:pStyle w:val="BodyText"/>
      </w:pPr>
      <w:r>
        <w:t xml:space="preserve">Even though the three items overlapped with one another more here than in Experiment 1, likely reflecting the longer, richer movement used, they still distinguished between action conditions (most strongly for</w:t>
      </w:r>
      <w:r>
        <w:t xml:space="preserve"> </w:t>
      </w:r>
      <w:r>
        <w:rPr>
          <w:b/>
          <w:bCs/>
        </w:rPr>
        <w:t xml:space="preserve">caused</w:t>
      </w:r>
      <w:r>
        <w:t xml:space="preserve">, least for</w:t>
      </w:r>
      <w:r>
        <w:t xml:space="preserve"> </w:t>
      </w:r>
      <w:r>
        <w:rPr>
          <w:b/>
          <w:bCs/>
        </w:rPr>
        <w:t xml:space="preserve">predicted</w:t>
      </w:r>
      <w:r>
        <w:t xml:space="preserve">) and still captured at least partly different constructs —</w:t>
      </w:r>
      <w:r>
        <w:t xml:space="preserve"> </w:t>
      </w:r>
      <w:r>
        <w:rPr>
          <w:b/>
          <w:bCs/>
        </w:rPr>
        <w:t xml:space="preserve">predicted</w:t>
      </w:r>
      <w:r>
        <w:t xml:space="preserve"> </w:t>
      </w:r>
      <w:r>
        <w:t xml:space="preserve">and</w:t>
      </w:r>
      <w:r>
        <w:t xml:space="preserve"> </w:t>
      </w:r>
      <w:r>
        <w:rPr>
          <w:b/>
          <w:bCs/>
        </w:rPr>
        <w:t xml:space="preserve">controlled</w:t>
      </w:r>
      <w:r>
        <w:t xml:space="preserve"> </w:t>
      </w:r>
      <w:r>
        <w:t xml:space="preserve">remained significantly different from each other. The three items correlated significantly in every condition, but the composite score was not related to the gaze-cueing RT effect in any condition, providing no clear evidence that explicit and implicit agency covaried in this experiment.</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2026-08-18T08:02:29Z</dcterms:created>
  <dcterms:modified xsi:type="dcterms:W3CDTF">2026-08-18T08:02:29Z</dcterms:modified>
</cp:coreProperties>
</file>

<file path=docProps/custom.xml><?xml version="1.0" encoding="utf-8"?>
<Properties xmlns="http://schemas.openxmlformats.org/officeDocument/2006/custom-properties" xmlns:vt="http://schemas.openxmlformats.org/officeDocument/2006/docPropsVTypes"/>
</file>