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experiment-3"/>
    <w:p>
      <w:pPr>
        <w:pStyle w:val="Heading1"/>
      </w:pPr>
      <w:r>
        <w:t xml:space="preserve">Experiment 3</w:t>
      </w:r>
    </w:p>
    <w:bookmarkStart w:id="9" w:name="method"/>
    <w:p>
      <w:pPr>
        <w:pStyle w:val="Heading2"/>
      </w:pPr>
      <w:r>
        <w:t xml:space="preserve">Method</w:t>
      </w:r>
    </w:p>
    <w:p>
      <w:pPr>
        <w:pStyle w:val="FirstParagraph"/>
      </w:pPr>
      <w:r>
        <w:t xml:space="preserve">Experiment 3 used the same design and procedure established in Experiments 1 and 2 (see Rationale section for the full paradigm description). The only difference was the modality of the direction-selection response: instead of pressing a key or moving a mouse, participants were seated in front of a touchscreen monitor and indicated their intended gaze direction by touching one of the two rectangles to the left or right of the face. Unlike in Experiment 2, no mouse cursor was visible on the screen at any point ([check with Armina]). Touches landing outside both rectangles were not registered as valid responses and were therefore ignored.</w:t>
      </w:r>
    </w:p>
    <w:p>
      <w:pPr>
        <w:pStyle w:val="BodyText"/>
      </w:pPr>
      <w:r>
        <w:t xml:space="preserve">[Ask Armina for the touchscreen monitor’s technical details — size, resolution, touch technology, viewing distance, refresh rate — to describe here, matching the level of detail given for the monitor in Experiment 1’s Stimuli section.]</w:t>
      </w:r>
    </w:p>
    <w:p>
      <w:pPr>
        <w:pStyle w:val="BodyText"/>
      </w:pPr>
      <w:r>
        <w:t xml:space="preserve">Explicit sense of agency was again assessed at the end of the procedure using the same three self-report questions (predict / control / caused).</w:t>
      </w:r>
    </w:p>
    <w:bookmarkEnd w:id="9"/>
    <w:bookmarkStart w:id="10" w:name="results"/>
    <w:p>
      <w:pPr>
        <w:pStyle w:val="Heading2"/>
      </w:pPr>
      <w:r>
        <w:t xml:space="preserve">Results</w:t>
      </w:r>
    </w:p>
    <w:p>
      <w:pPr>
        <w:pStyle w:val="FirstParagraph"/>
      </w:pPr>
      <w:r>
        <w:rPr>
          <w:b/>
          <w:bCs/>
        </w:rPr>
        <w:t xml:space="preserve">Data Exclusion and Final Sample</w:t>
      </w:r>
    </w:p>
    <w:p>
      <w:pPr>
        <w:pStyle w:val="BodyText"/>
      </w:pPr>
      <w:r>
        <w:t xml:space="preserve">Data were initially collected from 62 participants (15 males, 47 females; M = 24.23 years, SD = 6.16). Participation was incentivized through ECTS credits tied to accuracy performance, and all participants provided written informed consent and had normal or corrected-to-normal vision. Eight participants were excluded due to lower accuracy (below 85%). A further three participants were excluded on the basis of the predefined questionnaire data-quality criteria — invariant responding across items, defined as a dominant response exceeding 75% of all ratings combined with a condition-level response range of 0.5 or less (Meade &amp; Craig, 2012). This left 51 participants in the data set.</w:t>
      </w:r>
    </w:p>
    <w:p>
      <w:pPr>
        <w:pStyle w:val="BodyText"/>
      </w:pPr>
      <w:r>
        <w:t xml:space="preserve">From the remaining trials, 5.00% (428 trials) were removed as errors. An additional 0.33% (27 trials) were excluded as physiologically implausible (below 200 ms), leaving 8,113 RT trials. A further cut eliminated 4.72% (383 trials) because their remaining reaction times deviated by more than 2 standard deviations from the mean, calculated separately for each participant and condition, leaving 7,730 trials.</w:t>
      </w:r>
    </w:p>
    <w:p>
      <w:pPr>
        <w:pStyle w:val="BodyText"/>
      </w:pPr>
      <w:r>
        <w:t xml:space="preserve">Two further participants were excluded because their overall mean reaction time exceeded the group mean by more than 2 standard deviations (cutoff: 721.7 ms; participants’ means: 784.8 ms and 745.4 ms). The final analyses were therefore conducted on data from 49 participants.</w:t>
      </w:r>
    </w:p>
    <w:p>
      <w:pPr>
        <w:pStyle w:val="BodyText"/>
      </w:pPr>
      <w:r>
        <w:rPr>
          <w:b/>
          <w:bCs/>
        </w:rPr>
        <w:t xml:space="preserve">Reaction Time, Gaze Cueing, and Sense of Agency</w:t>
      </w:r>
    </w:p>
    <w:p>
      <w:pPr>
        <w:pStyle w:val="BodyText"/>
      </w:pPr>
      <w:r>
        <w:rPr>
          <w:b/>
          <w:bCs/>
        </w:rPr>
        <w:t xml:space="preserve">Descriptive statistics</w:t>
      </w:r>
    </w:p>
    <w:p>
      <w:pPr>
        <w:pStyle w:val="BodyText"/>
      </w:pPr>
      <w:r>
        <w:t xml:space="preserve">Means and standard deviations for each condition are presented in Table X. Collapsed across gaze congruency, inconsistent trials were descriptively the fastest of the three action conditions (M = 514.4 ms), followed by consistent (M = 517.1 ms) and control (M = 527.0 ms, the slowest).</w:t>
      </w:r>
    </w:p>
    <w:p>
      <w:pPr>
        <w:pStyle w:val="BodyText"/>
      </w:pPr>
      <w:r>
        <w:t xml:space="preserve">Within gaze-congruent trials, RTs were fastest in the consistent condition (M = 504.52 ms, SD = 91.90), followed by control (M = 517.57 ms, SD = 83.05) and inconsistent (M = 520.76 ms, SD = 83.24) — a reversal of the ordering observed in the previous two experiments, where control was consistently the slowest condition. Within gaze-incongruent trials the ordering resembled Experiment 2: inconsistent trials were fastest (M = 507.97 ms, SD = 95.87), followed by consistent (M = 529.61 ms, SD = 94.90) and control (M = 536.51 ms, SD = 84.90).</w:t>
      </w:r>
    </w:p>
    <w:p>
      <w:pPr>
        <w:pStyle w:val="BodyText"/>
      </w:pPr>
      <w:r>
        <w:t xml:space="preserve">The mean congruency/GC effect (incongruent minus congruent, computed per participant) was 25.08 ms (SD = 33.02) for consistent trials and 18.94 ms (SD = 31.50) for control trials — both in the expected direction. As in Experiment 2, the inconsistent condition showed the reversed pattern, with a mean difference of −12.79 ms (SD = 45.76), i.e., numerically faster responses on incongruent than congruent trials.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Condition</w:t>
            </w:r>
          </w:p>
        </w:tc>
        <w:tc>
          <w:tcPr/>
          <w:p>
            <w:pPr>
              <w:pStyle w:val="Compact"/>
              <w:jc w:val="center"/>
            </w:pPr>
            <w:r>
              <w:t xml:space="preserve">Valid</w:t>
            </w:r>
          </w:p>
        </w:tc>
        <w:tc>
          <w:tcPr/>
          <w:p>
            <w:pPr>
              <w:pStyle w:val="Compact"/>
              <w:jc w:val="center"/>
            </w:pPr>
            <w:r>
              <w:t xml:space="preserve">Mean (ms)</w:t>
            </w:r>
          </w:p>
        </w:tc>
        <w:tc>
          <w:tcPr/>
          <w:p>
            <w:pPr>
              <w:pStyle w:val="Compact"/>
              <w:jc w:val="center"/>
            </w:pPr>
            <w:r>
              <w:t xml:space="preserve">SD</w:t>
            </w:r>
          </w:p>
        </w:tc>
        <w:tc>
          <w:tcPr/>
          <w:p>
            <w:pPr>
              <w:pStyle w:val="Compact"/>
              <w:jc w:val="center"/>
            </w:pPr>
            <w:r>
              <w:t xml:space="preserve">Min</w:t>
            </w:r>
          </w:p>
        </w:tc>
        <w:tc>
          <w:tcPr/>
          <w:p>
            <w:pPr>
              <w:pStyle w:val="Compact"/>
              <w:jc w:val="center"/>
            </w:pPr>
            <w:r>
              <w:t xml:space="preserve">Max</w:t>
            </w:r>
          </w:p>
        </w:tc>
      </w:tr>
      <w:tr>
        <w:tc>
          <w:tcPr/>
          <w:p>
            <w:pPr>
              <w:pStyle w:val="Compact"/>
              <w:jc w:val="left"/>
            </w:pPr>
            <w:r>
              <w:t xml:space="preserve">Congruent – Consistent</w:t>
            </w:r>
          </w:p>
        </w:tc>
        <w:tc>
          <w:tcPr/>
          <w:p>
            <w:pPr>
              <w:pStyle w:val="Compact"/>
              <w:jc w:val="center"/>
            </w:pPr>
            <w:r>
              <w:t xml:space="preserve">49</w:t>
            </w:r>
          </w:p>
        </w:tc>
        <w:tc>
          <w:tcPr/>
          <w:p>
            <w:pPr>
              <w:pStyle w:val="Compact"/>
              <w:jc w:val="center"/>
            </w:pPr>
            <w:r>
              <w:t xml:space="preserve">504.52</w:t>
            </w:r>
          </w:p>
        </w:tc>
        <w:tc>
          <w:tcPr/>
          <w:p>
            <w:pPr>
              <w:pStyle w:val="Compact"/>
              <w:jc w:val="center"/>
            </w:pPr>
            <w:r>
              <w:t xml:space="preserve">91.90</w:t>
            </w:r>
          </w:p>
        </w:tc>
        <w:tc>
          <w:tcPr/>
          <w:p>
            <w:pPr>
              <w:pStyle w:val="Compact"/>
              <w:jc w:val="center"/>
            </w:pPr>
            <w:r>
              <w:t xml:space="preserve">338</w:t>
            </w:r>
          </w:p>
        </w:tc>
        <w:tc>
          <w:tcPr/>
          <w:p>
            <w:pPr>
              <w:pStyle w:val="Compact"/>
              <w:jc w:val="center"/>
            </w:pPr>
            <w:r>
              <w:t xml:space="preserve">716</w:t>
            </w:r>
          </w:p>
        </w:tc>
      </w:tr>
      <w:tr>
        <w:tc>
          <w:tcPr/>
          <w:p>
            <w:pPr>
              <w:pStyle w:val="Compact"/>
              <w:jc w:val="left"/>
            </w:pPr>
            <w:r>
              <w:t xml:space="preserve">Congruent – Control</w:t>
            </w:r>
          </w:p>
        </w:tc>
        <w:tc>
          <w:tcPr/>
          <w:p>
            <w:pPr>
              <w:pStyle w:val="Compact"/>
              <w:jc w:val="center"/>
            </w:pPr>
            <w:r>
              <w:t xml:space="preserve">49</w:t>
            </w:r>
          </w:p>
        </w:tc>
        <w:tc>
          <w:tcPr/>
          <w:p>
            <w:pPr>
              <w:pStyle w:val="Compact"/>
              <w:jc w:val="center"/>
            </w:pPr>
            <w:r>
              <w:t xml:space="preserve">517.57</w:t>
            </w:r>
          </w:p>
        </w:tc>
        <w:tc>
          <w:tcPr/>
          <w:p>
            <w:pPr>
              <w:pStyle w:val="Compact"/>
              <w:jc w:val="center"/>
            </w:pPr>
            <w:r>
              <w:t xml:space="preserve">83.05</w:t>
            </w:r>
          </w:p>
        </w:tc>
        <w:tc>
          <w:tcPr/>
          <w:p>
            <w:pPr>
              <w:pStyle w:val="Compact"/>
              <w:jc w:val="center"/>
            </w:pPr>
            <w:r>
              <w:t xml:space="preserve">393</w:t>
            </w:r>
          </w:p>
        </w:tc>
        <w:tc>
          <w:tcPr/>
          <w:p>
            <w:pPr>
              <w:pStyle w:val="Compact"/>
              <w:jc w:val="center"/>
            </w:pPr>
            <w:r>
              <w:t xml:space="preserve">762</w:t>
            </w:r>
          </w:p>
        </w:tc>
      </w:tr>
      <w:tr>
        <w:tc>
          <w:tcPr/>
          <w:p>
            <w:pPr>
              <w:pStyle w:val="Compact"/>
              <w:jc w:val="left"/>
            </w:pPr>
            <w:r>
              <w:t xml:space="preserve">Congruent – Inconsistent</w:t>
            </w:r>
          </w:p>
        </w:tc>
        <w:tc>
          <w:tcPr/>
          <w:p>
            <w:pPr>
              <w:pStyle w:val="Compact"/>
              <w:jc w:val="center"/>
            </w:pPr>
            <w:r>
              <w:t xml:space="preserve">49</w:t>
            </w:r>
          </w:p>
        </w:tc>
        <w:tc>
          <w:tcPr/>
          <w:p>
            <w:pPr>
              <w:pStyle w:val="Compact"/>
              <w:jc w:val="center"/>
            </w:pPr>
            <w:r>
              <w:t xml:space="preserve">520.76</w:t>
            </w:r>
          </w:p>
        </w:tc>
        <w:tc>
          <w:tcPr/>
          <w:p>
            <w:pPr>
              <w:pStyle w:val="Compact"/>
              <w:jc w:val="center"/>
            </w:pPr>
            <w:r>
              <w:t xml:space="preserve">83.24</w:t>
            </w:r>
          </w:p>
        </w:tc>
        <w:tc>
          <w:tcPr/>
          <w:p>
            <w:pPr>
              <w:pStyle w:val="Compact"/>
              <w:jc w:val="center"/>
            </w:pPr>
            <w:r>
              <w:t xml:space="preserve">389</w:t>
            </w:r>
          </w:p>
        </w:tc>
        <w:tc>
          <w:tcPr/>
          <w:p>
            <w:pPr>
              <w:pStyle w:val="Compact"/>
              <w:jc w:val="center"/>
            </w:pPr>
            <w:r>
              <w:t xml:space="preserve">705</w:t>
            </w:r>
          </w:p>
        </w:tc>
      </w:tr>
      <w:tr>
        <w:tc>
          <w:tcPr/>
          <w:p>
            <w:pPr>
              <w:pStyle w:val="Compact"/>
              <w:jc w:val="left"/>
            </w:pPr>
            <w:r>
              <w:t xml:space="preserve">Incongruent – Consistent</w:t>
            </w:r>
          </w:p>
        </w:tc>
        <w:tc>
          <w:tcPr/>
          <w:p>
            <w:pPr>
              <w:pStyle w:val="Compact"/>
              <w:jc w:val="center"/>
            </w:pPr>
            <w:r>
              <w:t xml:space="preserve">49</w:t>
            </w:r>
          </w:p>
        </w:tc>
        <w:tc>
          <w:tcPr/>
          <w:p>
            <w:pPr>
              <w:pStyle w:val="Compact"/>
              <w:jc w:val="center"/>
            </w:pPr>
            <w:r>
              <w:t xml:space="preserve">529.61</w:t>
            </w:r>
          </w:p>
        </w:tc>
        <w:tc>
          <w:tcPr/>
          <w:p>
            <w:pPr>
              <w:pStyle w:val="Compact"/>
              <w:jc w:val="center"/>
            </w:pPr>
            <w:r>
              <w:t xml:space="preserve">94.90</w:t>
            </w:r>
          </w:p>
        </w:tc>
        <w:tc>
          <w:tcPr/>
          <w:p>
            <w:pPr>
              <w:pStyle w:val="Compact"/>
              <w:jc w:val="center"/>
            </w:pPr>
            <w:r>
              <w:t xml:space="preserve">369</w:t>
            </w:r>
          </w:p>
        </w:tc>
        <w:tc>
          <w:tcPr/>
          <w:p>
            <w:pPr>
              <w:pStyle w:val="Compact"/>
              <w:jc w:val="center"/>
            </w:pPr>
            <w:r>
              <w:t xml:space="preserve">769</w:t>
            </w:r>
          </w:p>
        </w:tc>
      </w:tr>
      <w:tr>
        <w:tc>
          <w:tcPr/>
          <w:p>
            <w:pPr>
              <w:pStyle w:val="Compact"/>
              <w:jc w:val="left"/>
            </w:pPr>
            <w:r>
              <w:t xml:space="preserve">Incongruent – Control</w:t>
            </w:r>
          </w:p>
        </w:tc>
        <w:tc>
          <w:tcPr/>
          <w:p>
            <w:pPr>
              <w:pStyle w:val="Compact"/>
              <w:jc w:val="center"/>
            </w:pPr>
            <w:r>
              <w:t xml:space="preserve">49</w:t>
            </w:r>
          </w:p>
        </w:tc>
        <w:tc>
          <w:tcPr/>
          <w:p>
            <w:pPr>
              <w:pStyle w:val="Compact"/>
              <w:jc w:val="center"/>
            </w:pPr>
            <w:r>
              <w:t xml:space="preserve">536.51</w:t>
            </w:r>
          </w:p>
        </w:tc>
        <w:tc>
          <w:tcPr/>
          <w:p>
            <w:pPr>
              <w:pStyle w:val="Compact"/>
              <w:jc w:val="center"/>
            </w:pPr>
            <w:r>
              <w:t xml:space="preserve">84.90</w:t>
            </w:r>
          </w:p>
        </w:tc>
        <w:tc>
          <w:tcPr/>
          <w:p>
            <w:pPr>
              <w:pStyle w:val="Compact"/>
              <w:jc w:val="center"/>
            </w:pPr>
            <w:r>
              <w:t xml:space="preserve">412</w:t>
            </w:r>
          </w:p>
        </w:tc>
        <w:tc>
          <w:tcPr/>
          <w:p>
            <w:pPr>
              <w:pStyle w:val="Compact"/>
              <w:jc w:val="center"/>
            </w:pPr>
            <w:r>
              <w:t xml:space="preserve">797</w:t>
            </w:r>
          </w:p>
        </w:tc>
      </w:tr>
      <w:tr>
        <w:tc>
          <w:tcPr/>
          <w:p>
            <w:pPr>
              <w:pStyle w:val="Compact"/>
              <w:jc w:val="left"/>
            </w:pPr>
            <w:r>
              <w:t xml:space="preserve">Incongruent – Inconsistent</w:t>
            </w:r>
          </w:p>
        </w:tc>
        <w:tc>
          <w:tcPr/>
          <w:p>
            <w:pPr>
              <w:pStyle w:val="Compact"/>
              <w:jc w:val="center"/>
            </w:pPr>
            <w:r>
              <w:t xml:space="preserve">49</w:t>
            </w:r>
          </w:p>
        </w:tc>
        <w:tc>
          <w:tcPr/>
          <w:p>
            <w:pPr>
              <w:pStyle w:val="Compact"/>
              <w:jc w:val="center"/>
            </w:pPr>
            <w:r>
              <w:t xml:space="preserve">507.97</w:t>
            </w:r>
          </w:p>
        </w:tc>
        <w:tc>
          <w:tcPr/>
          <w:p>
            <w:pPr>
              <w:pStyle w:val="Compact"/>
              <w:jc w:val="center"/>
            </w:pPr>
            <w:r>
              <w:t xml:space="preserve">95.87</w:t>
            </w:r>
          </w:p>
        </w:tc>
        <w:tc>
          <w:tcPr/>
          <w:p>
            <w:pPr>
              <w:pStyle w:val="Compact"/>
              <w:jc w:val="center"/>
            </w:pPr>
            <w:r>
              <w:t xml:space="preserve">353</w:t>
            </w:r>
          </w:p>
        </w:tc>
        <w:tc>
          <w:tcPr/>
          <w:p>
            <w:pPr>
              <w:pStyle w:val="Compact"/>
              <w:jc w:val="center"/>
            </w:pPr>
            <w:r>
              <w:t xml:space="preserve">722</w:t>
            </w:r>
          </w:p>
        </w:tc>
      </w:tr>
    </w:tbl>
    <w:p>
      <w:pPr>
        <w:pStyle w:val="BodyText"/>
      </w:pPr>
      <w:r>
        <w:t xml:space="preserve">Table X: Mean RTs and standard deviations (SD) per condition, ms, Experiment 3.</w:t>
      </w:r>
    </w:p>
    <w:p>
      <w:pPr>
        <w:pStyle w:val="BodyText"/>
      </w:pPr>
      <w:r>
        <w:rPr>
          <w:b/>
          <w:bCs/>
        </w:rPr>
        <w:t xml:space="preserve">Statistical analyses</w:t>
      </w:r>
    </w:p>
    <w:p>
      <w:pPr>
        <w:pStyle w:val="BodyText"/>
      </w:pPr>
      <w:r>
        <w:t xml:space="preserve">A post-hoc power analysis (G*Power 3.1.9.6) confirmed high power (power = 0.975) for the current sample (</w:t>
      </w:r>
      <w:r>
        <w:rPr>
          <w:i/>
          <w:iCs/>
        </w:rPr>
        <w:t xml:space="preserve">N</w:t>
      </w:r>
      <w:r>
        <w:t xml:space="preserve"> </w:t>
      </w:r>
      <w:r>
        <w:t xml:space="preserve">= 49) to detect a small effect (</w:t>
      </w:r>
      <w:r>
        <w:rPr>
          <w:i/>
          <w:iCs/>
        </w:rPr>
        <w:t xml:space="preserve">f</w:t>
      </w:r>
      <w:r>
        <w:t xml:space="preserve"> </w:t>
      </w:r>
      <w:r>
        <w:t xml:space="preserve">= 0.20); as in Experiments 1 and 2, Greenhouse–Geisser correction and Bonferroni-corrected post hoc comparisons were applied throughout.</w:t>
      </w:r>
    </w:p>
    <w:p>
      <w:pPr>
        <w:pStyle w:val="BodyText"/>
      </w:pPr>
      <w:r>
        <w:rPr>
          <w:b/>
          <w:bCs/>
        </w:rPr>
        <w:t xml:space="preserve">rANOVA</w:t>
      </w:r>
    </w:p>
    <w:p>
      <w:pPr>
        <w:pStyle w:val="BodyText"/>
      </w:pPr>
      <w:r>
        <w:t xml:space="preserve">As in the previous two experiments, the main effect of gaze congruency reached significance,</w:t>
      </w:r>
      <w:r>
        <w:t xml:space="preserve"> </w:t>
      </w:r>
      <w:r>
        <w:rPr>
          <w:i/>
          <w:iCs/>
        </w:rPr>
        <w:t xml:space="preserve">F</w:t>
      </w:r>
      <w:r>
        <w:t xml:space="preserve">(1, 48) = 13.72,</w:t>
      </w:r>
      <w:r>
        <w:t xml:space="preserve"> </w:t>
      </w:r>
      <w:r>
        <w:rPr>
          <w:i/>
          <w:iCs/>
        </w:rPr>
        <w:t xml:space="preserve">p</w:t>
      </w:r>
      <w:r>
        <w:t xml:space="preserve"> </w:t>
      </w:r>
      <w:r>
        <w:t xml:space="preserve">&lt; .001, η²ₚ = .222 — the smallest of the three gaze-congruency effect sizes so far (cf. η²ₚ = .263 in Experiment 1, η²ₚ = .270 in Experiment 2), though still confirming a reliable overall gaze-cueing effect.</w:t>
      </w:r>
    </w:p>
    <w:p>
      <w:pPr>
        <w:pStyle w:val="BodyText"/>
      </w:pPr>
      <w:r>
        <w:t xml:space="preserve">The main effect of action consistency also reached significance,</w:t>
      </w:r>
      <w:r>
        <w:t xml:space="preserve"> </w:t>
      </w:r>
      <w:r>
        <w:rPr>
          <w:i/>
          <w:iCs/>
        </w:rPr>
        <w:t xml:space="preserve">F</w:t>
      </w:r>
      <w:r>
        <w:t xml:space="preserve">(1.49, 71.40) = 3.97,</w:t>
      </w:r>
      <w:r>
        <w:t xml:space="preserve"> </w:t>
      </w:r>
      <w:r>
        <w:rPr>
          <w:i/>
          <w:iCs/>
        </w:rPr>
        <w:t xml:space="preserve">p</w:t>
      </w:r>
      <w:r>
        <w:t xml:space="preserve"> </w:t>
      </w:r>
      <w:r>
        <w:t xml:space="preserve">= .034, η²ₚ = .076 — the weakest of the three experiments (cf. η²ₚ = .119 in Experiment 1, η²ₚ = .220 in Experiment 2). It was also significant when examined within each level of gaze congruency separately, though more strongly within incongruent trials (</w:t>
      </w:r>
      <w:r>
        <w:rPr>
          <w:i/>
          <w:iCs/>
        </w:rPr>
        <w:t xml:space="preserve">F</w:t>
      </w:r>
      <w:r>
        <w:t xml:space="preserve">(2, 96) = 11.41,</w:t>
      </w:r>
      <w:r>
        <w:t xml:space="preserve"> </w:t>
      </w:r>
      <w:r>
        <w:rPr>
          <w:i/>
          <w:iCs/>
        </w:rPr>
        <w:t xml:space="preserve">p</w:t>
      </w:r>
      <w:r>
        <w:t xml:space="preserve"> </w:t>
      </w:r>
      <w:r>
        <w:t xml:space="preserve">&lt; .001) than within congruent trials (</w:t>
      </w:r>
      <w:r>
        <w:rPr>
          <w:i/>
          <w:iCs/>
        </w:rPr>
        <w:t xml:space="preserve">F</w:t>
      </w:r>
      <w:r>
        <w:t xml:space="preserve">(2, 96) = 4.02,</w:t>
      </w:r>
      <w:r>
        <w:t xml:space="preserve"> </w:t>
      </w:r>
      <w:r>
        <w:rPr>
          <w:i/>
          <w:iCs/>
        </w:rPr>
        <w:t xml:space="preserve">p</w:t>
      </w:r>
      <w:r>
        <w:t xml:space="preserve"> </w:t>
      </w:r>
      <w:r>
        <w:t xml:space="preserve">= .021) — and, as noted above, followed a reversed ordering relative to the previous two experiments, especially within the congruent condition, where control was no longer the slowest.</w:t>
      </w:r>
    </w:p>
    <w:p>
      <w:pPr>
        <w:pStyle w:val="BodyText"/>
      </w:pPr>
      <w:r>
        <w:t xml:space="preserve">Critically, as in Experiment 2, the Gaze Congruency × Action Consistency interaction was again significant,</w:t>
      </w:r>
      <w:r>
        <w:t xml:space="preserve"> </w:t>
      </w:r>
      <w:r>
        <w:rPr>
          <w:i/>
          <w:iCs/>
        </w:rPr>
        <w:t xml:space="preserve">F</w:t>
      </w:r>
      <w:r>
        <w:t xml:space="preserve">(1.71, 82.23) = 13.43,</w:t>
      </w:r>
      <w:r>
        <w:t xml:space="preserve"> </w:t>
      </w:r>
      <w:r>
        <w:rPr>
          <w:i/>
          <w:iCs/>
        </w:rPr>
        <w:t xml:space="preserve">p</w:t>
      </w:r>
      <w:r>
        <w:t xml:space="preserve"> </w:t>
      </w:r>
      <w:r>
        <w:t xml:space="preserve">&lt; .001, η²ₚ = .219 — closely matching the size of the interaction in Experiment 2 (η²ₚ = .206) and diverging from Experiment 1, where the interaction did not reach significance. Post hoc comparisons conditioned on gaze congruency, however, revealed a different pattern than in Experiment 2. Within congruent trials, consistent trials were significantly faster than inconsistent (MD = −16.24 ms,</w:t>
      </w:r>
      <w:r>
        <w:t xml:space="preserve"> </w:t>
      </w:r>
      <w:r>
        <w:rPr>
          <w:i/>
          <w:iCs/>
        </w:rPr>
        <w:t xml:space="preserve">SE</w:t>
      </w:r>
      <w:r>
        <w:t xml:space="preserve"> </w:t>
      </w:r>
      <w:r>
        <w:t xml:space="preserve">= 5.17,</w:t>
      </w:r>
      <w:r>
        <w:t xml:space="preserve"> </w:t>
      </w:r>
      <w:r>
        <w:rPr>
          <w:i/>
          <w:iCs/>
        </w:rPr>
        <w:t xml:space="preserve">t</w:t>
      </w:r>
      <w:r>
        <w:t xml:space="preserve">(48) = −3.14,</w:t>
      </w:r>
      <w:r>
        <w:t xml:space="preserve"> </w:t>
      </w:r>
      <w:r>
        <w:rPr>
          <w:i/>
          <w:iCs/>
        </w:rPr>
        <w:t xml:space="preserve">p</w:t>
      </w:r>
      <w:r>
        <w:t xml:space="preserve"> </w:t>
      </w:r>
      <w:r>
        <w:t xml:space="preserve">= .009,</w:t>
      </w:r>
      <w:r>
        <w:t xml:space="preserve"> </w:t>
      </w:r>
      <w:r>
        <w:rPr>
          <w:i/>
          <w:iCs/>
        </w:rPr>
        <w:t xml:space="preserve">d</w:t>
      </w:r>
      <w:r>
        <w:t xml:space="preserve"> </w:t>
      </w:r>
      <w:r>
        <w:t xml:space="preserve">= −0.18), but — unlike in Experiment 2 — consistent no longer differed reliably from control (both comparisons with control,</w:t>
      </w:r>
      <w:r>
        <w:t xml:space="preserve"> </w:t>
      </w:r>
      <w:r>
        <w:rPr>
          <w:i/>
          <w:iCs/>
        </w:rPr>
        <w:t xml:space="preserve">p</w:t>
      </w:r>
      <w:r>
        <w:t xml:space="preserve"> </w:t>
      </w:r>
      <w:r>
        <w:t xml:space="preserve">≥ .116): the active-vs-control advantage present within congruent trials in Experiment 2 is no longer there in Experiment 3. [Note for Armina — interesting shift, no clear interpretation yet.] Within incongruent trials, as in Experiment 2, inconsistent trials were faster than both consistent (MD = 21.63 ms,</w:t>
      </w:r>
      <w:r>
        <w:t xml:space="preserve"> </w:t>
      </w:r>
      <w:r>
        <w:rPr>
          <w:i/>
          <w:iCs/>
        </w:rPr>
        <w:t xml:space="preserve">SE</w:t>
      </w:r>
      <w:r>
        <w:t xml:space="preserve"> </w:t>
      </w:r>
      <w:r>
        <w:t xml:space="preserve">= 5.37,</w:t>
      </w:r>
      <w:r>
        <w:t xml:space="preserve"> </w:t>
      </w:r>
      <w:r>
        <w:rPr>
          <w:i/>
          <w:iCs/>
        </w:rPr>
        <w:t xml:space="preserve">t</w:t>
      </w:r>
      <w:r>
        <w:t xml:space="preserve">(48) = 4.03,</w:t>
      </w:r>
      <w:r>
        <w:t xml:space="preserve"> </w:t>
      </w:r>
      <w:r>
        <w:rPr>
          <w:i/>
          <w:iCs/>
        </w:rPr>
        <w:t xml:space="preserve">p</w:t>
      </w:r>
      <w:r>
        <w:t xml:space="preserve"> </w:t>
      </w:r>
      <w:r>
        <w:t xml:space="preserve">&lt; .001,</w:t>
      </w:r>
      <w:r>
        <w:t xml:space="preserve"> </w:t>
      </w:r>
      <w:r>
        <w:rPr>
          <w:i/>
          <w:iCs/>
        </w:rPr>
        <w:t xml:space="preserve">d</w:t>
      </w:r>
      <w:r>
        <w:t xml:space="preserve"> </w:t>
      </w:r>
      <w:r>
        <w:t xml:space="preserve">= 0.24) and control (MD = −28.54 ms,</w:t>
      </w:r>
      <w:r>
        <w:t xml:space="preserve"> </w:t>
      </w:r>
      <w:r>
        <w:rPr>
          <w:i/>
          <w:iCs/>
        </w:rPr>
        <w:t xml:space="preserve">SE</w:t>
      </w:r>
      <w:r>
        <w:t xml:space="preserve"> </w:t>
      </w:r>
      <w:r>
        <w:t xml:space="preserve">= 6.93,</w:t>
      </w:r>
      <w:r>
        <w:t xml:space="preserve"> </w:t>
      </w:r>
      <w:r>
        <w:rPr>
          <w:i/>
          <w:iCs/>
        </w:rPr>
        <w:t xml:space="preserve">t</w:t>
      </w:r>
      <w:r>
        <w:t xml:space="preserve">(48) = −4.12,</w:t>
      </w:r>
      <w:r>
        <w:t xml:space="preserve"> </w:t>
      </w:r>
      <w:r>
        <w:rPr>
          <w:i/>
          <w:iCs/>
        </w:rPr>
        <w:t xml:space="preserve">p</w:t>
      </w:r>
      <w:r>
        <w:t xml:space="preserve"> </w:t>
      </w:r>
      <w:r>
        <w:t xml:space="preserve">&lt; .001,</w:t>
      </w:r>
      <w:r>
        <w:t xml:space="preserve"> </w:t>
      </w:r>
      <w:r>
        <w:rPr>
          <w:i/>
          <w:iCs/>
        </w:rPr>
        <w:t xml:space="preserve">d</w:t>
      </w:r>
      <w:r>
        <w:t xml:space="preserve"> </w:t>
      </w:r>
      <w:r>
        <w:t xml:space="preserve">= −0.32), while consistent and control again did not differ from each other (</w:t>
      </w:r>
      <w:r>
        <w:rPr>
          <w:i/>
          <w:iCs/>
        </w:rPr>
        <w:t xml:space="preserve">p</w:t>
      </w:r>
      <w:r>
        <w:t xml:space="preserve"> </w:t>
      </w:r>
      <w:r>
        <w:t xml:space="preserve">= .836). Notably, in both gaze conditions every significant comparison involved the inconsistent condition, whereas consistent and control never differed reliably from one another. This raises the possibility that the Gaze Congruency × Action Consistency interaction was driven primarily by the inconsistent condition — which was slowest within congruent trials but fastest within incongruent trials — rather than by a broader reorganization involving all three action conditions.</w:t>
      </w:r>
    </w:p>
    <w:p>
      <w:pPr>
        <w:pStyle w:val="BodyText"/>
      </w:pPr>
      <w:r>
        <w:rPr>
          <w:b/>
          <w:bCs/>
        </w:rPr>
        <w:t xml:space="preserve">ANCOVA Results</w:t>
      </w:r>
    </w:p>
    <w:p>
      <w:pPr>
        <w:pStyle w:val="BodyText"/>
      </w:pPr>
      <w:r>
        <w:t xml:space="preserve">As in Experiments 1 and 2, a repeated-measures ANCOVA was conducted with mean initiation time (mean-centered) included as a covariate.</w:t>
      </w:r>
    </w:p>
    <w:p>
      <w:pPr>
        <w:pStyle w:val="BodyText"/>
      </w:pPr>
      <w:r>
        <w:t xml:space="preserve">Controlling for initiation time again did not change the overall pattern of results: the main effects of Gaze,</w:t>
      </w:r>
      <w:r>
        <w:t xml:space="preserve"> </w:t>
      </w:r>
      <w:r>
        <w:rPr>
          <w:i/>
          <w:iCs/>
        </w:rPr>
        <w:t xml:space="preserve">F</w:t>
      </w:r>
      <w:r>
        <w:t xml:space="preserve">(1, 47) = 14.71,</w:t>
      </w:r>
      <w:r>
        <w:t xml:space="preserve"> </w:t>
      </w:r>
      <w:r>
        <w:rPr>
          <w:i/>
          <w:iCs/>
        </w:rPr>
        <w:t xml:space="preserve">p</w:t>
      </w:r>
      <w:r>
        <w:t xml:space="preserve"> </w:t>
      </w:r>
      <w:r>
        <w:t xml:space="preserve">&lt; .001, η²ₚ = .238, and Action,</w:t>
      </w:r>
      <w:r>
        <w:t xml:space="preserve"> </w:t>
      </w:r>
      <w:r>
        <w:rPr>
          <w:i/>
          <w:iCs/>
        </w:rPr>
        <w:t xml:space="preserve">F</w:t>
      </w:r>
      <w:r>
        <w:t xml:space="preserve">(1.58, 74.30) = 4.56,</w:t>
      </w:r>
      <w:r>
        <w:t xml:space="preserve"> </w:t>
      </w:r>
      <w:r>
        <w:rPr>
          <w:i/>
          <w:iCs/>
        </w:rPr>
        <w:t xml:space="preserve">p</w:t>
      </w:r>
      <w:r>
        <w:t xml:space="preserve"> </w:t>
      </w:r>
      <w:r>
        <w:t xml:space="preserve">= .020, η²ₚ = .088, and the Gaze × Action interaction,</w:t>
      </w:r>
      <w:r>
        <w:t xml:space="preserve"> </w:t>
      </w:r>
      <w:r>
        <w:rPr>
          <w:i/>
          <w:iCs/>
        </w:rPr>
        <w:t xml:space="preserve">F</w:t>
      </w:r>
      <w:r>
        <w:t xml:space="preserve">(1.73, 81.53) = 13.59,</w:t>
      </w:r>
      <w:r>
        <w:t xml:space="preserve"> </w:t>
      </w:r>
      <w:r>
        <w:rPr>
          <w:i/>
          <w:iCs/>
        </w:rPr>
        <w:t xml:space="preserve">p</w:t>
      </w:r>
      <w:r>
        <w:t xml:space="preserve"> </w:t>
      </w:r>
      <w:r>
        <w:t xml:space="preserve">&lt; .001, η²ₚ = .224, all remained significant and closely matched their plain-rANOVA results reported above. The Action × covariate and Gaze × covariate interactions also reached significance (</w:t>
      </w:r>
      <w:r>
        <w:rPr>
          <w:i/>
          <w:iCs/>
        </w:rPr>
        <w:t xml:space="preserve">F</w:t>
      </w:r>
      <w:r>
        <w:t xml:space="preserve">(1.58, 74.30) = 8.19,</w:t>
      </w:r>
      <w:r>
        <w:t xml:space="preserve"> </w:t>
      </w:r>
      <w:r>
        <w:rPr>
          <w:i/>
          <w:iCs/>
        </w:rPr>
        <w:t xml:space="preserve">p</w:t>
      </w:r>
      <w:r>
        <w:t xml:space="preserve"> </w:t>
      </w:r>
      <w:r>
        <w:t xml:space="preserve">= .001;</w:t>
      </w:r>
      <w:r>
        <w:t xml:space="preserve"> </w:t>
      </w:r>
      <w:r>
        <w:rPr>
          <w:i/>
          <w:iCs/>
        </w:rPr>
        <w:t xml:space="preserve">F</w:t>
      </w:r>
      <w:r>
        <w:t xml:space="preserve">(1, 47) = 4.47,</w:t>
      </w:r>
      <w:r>
        <w:t xml:space="preserve"> </w:t>
      </w:r>
      <w:r>
        <w:rPr>
          <w:i/>
          <w:iCs/>
        </w:rPr>
        <w:t xml:space="preserve">p</w:t>
      </w:r>
      <w:r>
        <w:t xml:space="preserve"> </w:t>
      </w:r>
      <w:r>
        <w:t xml:space="preserve">= .040, respectively); neither changes the interpretation of the effects reported above.</w:t>
      </w:r>
    </w:p>
    <w:p>
      <w:pPr>
        <w:pStyle w:val="BodyText"/>
      </w:pPr>
      <w:r>
        <w:t xml:space="preserve">Controlling for initiation time did, however, change several things this time. The Action main effect’s post hoc, collapsed across gaze, showed that inconsistent trials became significantly faster than control (MD = −12.68 ms,</w:t>
      </w:r>
      <w:r>
        <w:t xml:space="preserve"> </w:t>
      </w:r>
      <w:r>
        <w:rPr>
          <w:i/>
          <w:iCs/>
        </w:rPr>
        <w:t xml:space="preserve">t</w:t>
      </w:r>
      <w:r>
        <w:t xml:space="preserve">(47) = −2.58,</w:t>
      </w:r>
      <w:r>
        <w:t xml:space="preserve"> </w:t>
      </w:r>
      <w:r>
        <w:rPr>
          <w:i/>
          <w:iCs/>
        </w:rPr>
        <w:t xml:space="preserve">p</w:t>
      </w:r>
      <w:r>
        <w:t xml:space="preserve"> </w:t>
      </w:r>
      <w:r>
        <w:t xml:space="preserve">= .039), even though this same comparison was not significant in the plain rANOVA (</w:t>
      </w:r>
      <w:r>
        <w:rPr>
          <w:i/>
          <w:iCs/>
        </w:rPr>
        <w:t xml:space="preserve">p</w:t>
      </w:r>
      <w:r>
        <w:t xml:space="preserve"> </w:t>
      </w:r>
      <w:r>
        <w:t xml:space="preserve">= .065). Consistent and control still did not differ (MD = −9.98 ms,</w:t>
      </w:r>
      <w:r>
        <w:t xml:space="preserve"> </w:t>
      </w:r>
      <w:r>
        <w:rPr>
          <w:i/>
          <w:iCs/>
        </w:rPr>
        <w:t xml:space="preserve">t</w:t>
      </w:r>
      <w:r>
        <w:t xml:space="preserve">(47) = −1.99,</w:t>
      </w:r>
      <w:r>
        <w:t xml:space="preserve"> </w:t>
      </w:r>
      <w:r>
        <w:rPr>
          <w:i/>
          <w:iCs/>
        </w:rPr>
        <w:t xml:space="preserve">p</w:t>
      </w:r>
      <w:r>
        <w:t xml:space="preserve"> </w:t>
      </w:r>
      <w:r>
        <w:t xml:space="preserve">= .156). Another interesting shift was also related to the inconsistent condition: in the plain ANOVA above, the gaze congruency effect within the inconsistent condition was numerically reversed but not significant (</w:t>
      </w:r>
      <w:r>
        <w:rPr>
          <w:i/>
          <w:iCs/>
        </w:rPr>
        <w:t xml:space="preserve">p</w:t>
      </w:r>
      <w:r>
        <w:t xml:space="preserve"> </w:t>
      </w:r>
      <w:r>
        <w:t xml:space="preserve">= .056). Once initiation time was controlled for, this effect reached significance (MD = 12.79 ms,</w:t>
      </w:r>
      <w:r>
        <w:t xml:space="preserve"> </w:t>
      </w:r>
      <w:r>
        <w:rPr>
          <w:i/>
          <w:iCs/>
        </w:rPr>
        <w:t xml:space="preserve">SE</w:t>
      </w:r>
      <w:r>
        <w:t xml:space="preserve"> </w:t>
      </w:r>
      <w:r>
        <w:t xml:space="preserve">= 6.30,</w:t>
      </w:r>
      <w:r>
        <w:t xml:space="preserve"> </w:t>
      </w:r>
      <w:r>
        <w:rPr>
          <w:i/>
          <w:iCs/>
        </w:rPr>
        <w:t xml:space="preserve">t</w:t>
      </w:r>
      <w:r>
        <w:t xml:space="preserve">(47) = 2.03,</w:t>
      </w:r>
      <w:r>
        <w:t xml:space="preserve"> </w:t>
      </w:r>
      <w:r>
        <w:rPr>
          <w:i/>
          <w:iCs/>
        </w:rPr>
        <w:t xml:space="preserve">p</w:t>
      </w:r>
      <w:r>
        <w:t xml:space="preserve"> </w:t>
      </w:r>
      <w:r>
        <w:t xml:space="preserve">= .048,</w:t>
      </w:r>
      <w:r>
        <w:t xml:space="preserve"> </w:t>
      </w:r>
      <w:r>
        <w:rPr>
          <w:i/>
          <w:iCs/>
        </w:rPr>
        <w:t xml:space="preserve">d</w:t>
      </w:r>
      <w:r>
        <w:t xml:space="preserve"> </w:t>
      </w:r>
      <w:r>
        <w:t xml:space="preserve">= 0.18): within inconsistent trials, participants responded significantly faster to targets on their chosen side than on the gazed-at side. This diverges from Experiment 2, where the equivalent adjusted effect remained non-significant (</w:t>
      </w:r>
      <w:r>
        <w:rPr>
          <w:i/>
          <w:iCs/>
        </w:rPr>
        <w:t xml:space="preserve">p</w:t>
      </w:r>
      <w:r>
        <w:t xml:space="preserve"> </w:t>
      </w:r>
      <w:r>
        <w:t xml:space="preserve">= .072).</w:t>
      </w:r>
    </w:p>
    <w:p>
      <w:pPr>
        <w:pStyle w:val="BodyText"/>
      </w:pPr>
      <w:r>
        <w:rPr>
          <w:b/>
          <w:bCs/>
        </w:rPr>
        <w:t xml:space="preserve">Correlation</w:t>
      </w:r>
    </w:p>
    <w:p>
      <w:pPr>
        <w:pStyle w:val="BodyText"/>
      </w:pPr>
      <w:r>
        <w:t xml:space="preserve">Pearson correlations between initiation time and RT were computed for each condition. As in Experiment 2, initiation time correlated strongly and significantly with RT in every condition (</w:t>
      </w:r>
      <w:r>
        <w:rPr>
          <w:i/>
          <w:iCs/>
        </w:rPr>
        <w:t xml:space="preserve">r</w:t>
      </w:r>
      <w:r>
        <w:t xml:space="preserve"> </w:t>
      </w:r>
      <w:r>
        <w:t xml:space="preserve">= .51–.69, all</w:t>
      </w:r>
      <w:r>
        <w:t xml:space="preserve"> </w:t>
      </w:r>
      <w:r>
        <w:rPr>
          <w:i/>
          <w:iCs/>
        </w:rPr>
        <w:t xml:space="preserve">p</w:t>
      </w:r>
      <w:r>
        <w:t xml:space="preserve"> </w:t>
      </w:r>
      <w:r>
        <w:t xml:space="preserve">&lt; .001). Just as the mouse-click response did, the touchscreen response shares much of its speed with the later target-discrimination RT: participants who took longer to select a direction also tended to take longer to discriminate the target.</w:t>
      </w:r>
    </w:p>
    <w:p>
      <w:pPr>
        <w:pStyle w:val="BodyText"/>
      </w:pPr>
      <w:r>
        <w:rPr>
          <w:b/>
          <w:bCs/>
        </w:rPr>
        <w:t xml:space="preserve">Questionary data</w:t>
      </w:r>
    </w:p>
    <w:p>
      <w:pPr>
        <w:pStyle w:val="BodyText"/>
      </w:pPr>
      <w:r>
        <w:rPr>
          <w:b/>
          <w:bCs/>
        </w:rPr>
        <w:t xml:space="preserve">Descriptives</w:t>
      </w:r>
    </w:p>
    <w:p>
      <w:pPr>
        <w:pStyle w:val="BodyText"/>
      </w:pPr>
      <w:r>
        <w:t xml:space="preserve">The data from the seven-point Likert scale regarding the SoA questionary was examined as in the previous two experiments. Descriptive statistics are presented in Table X.</w:t>
      </w:r>
    </w:p>
    <w:p>
      <w:pPr>
        <w:pStyle w:val="BodyText"/>
      </w:pPr>
      <w:r>
        <w:t xml:space="preserve">Ratings followed a broadly similar ordering to the previous two experiments — highest in the active conditions, lowest in control. Numerically, as in Experiment 2 (but not Experiment 1), participants rated predicted highest overall, with caused and controlled essentially tied for lowest (2.90 and 2.92, respectively).</w:t>
      </w:r>
    </w:p>
    <w:tbl>
      <w:tblPr>
        <w:tblStyle w:val="Table"/>
        <w:tblW w:type="pct" w:w="5000"/>
        <w:tblLayout w:type="fixed"/>
        <w:tblLook w:firstRow="1" w:lastRow="0" w:firstColumn="0" w:lastColumn="0" w:noHBand="0" w:noVBand="0" w:val="0020"/>
      </w:tblPr>
      <w:tblGrid>
        <w:gridCol w:w="1142"/>
        <w:gridCol w:w="1675"/>
        <w:gridCol w:w="1903"/>
        <w:gridCol w:w="1599"/>
        <w:gridCol w:w="1599"/>
      </w:tblGrid>
      <w:tr>
        <w:trPr>
          <w:tblHeader w:val="on"/>
        </w:trPr>
        <w:tc>
          <w:tcPr/>
          <w:p>
            <w:pPr>
              <w:pStyle w:val="Compact"/>
              <w:jc w:val="left"/>
            </w:pPr>
            <w:r>
              <w:t xml:space="preserve">Question type</w:t>
            </w:r>
          </w:p>
        </w:tc>
        <w:tc>
          <w:tcPr/>
          <w:p>
            <w:pPr>
              <w:pStyle w:val="Compact"/>
              <w:jc w:val="center"/>
            </w:pPr>
            <w:r>
              <w:t xml:space="preserve">Consistent (M ± SD)</w:t>
            </w:r>
          </w:p>
        </w:tc>
        <w:tc>
          <w:tcPr/>
          <w:p>
            <w:pPr>
              <w:pStyle w:val="Compact"/>
              <w:jc w:val="center"/>
            </w:pPr>
            <w:r>
              <w:t xml:space="preserve">Inconsistent (M ± SD)</w:t>
            </w:r>
          </w:p>
        </w:tc>
        <w:tc>
          <w:tcPr/>
          <w:p>
            <w:pPr>
              <w:pStyle w:val="Compact"/>
              <w:jc w:val="center"/>
            </w:pPr>
            <w:r>
              <w:t xml:space="preserve">Control (M ± SD)</w:t>
            </w:r>
          </w:p>
        </w:tc>
        <w:tc>
          <w:tcPr/>
          <w:p>
            <w:pPr>
              <w:pStyle w:val="Compact"/>
              <w:jc w:val="center"/>
            </w:pPr>
            <w:r>
              <w:t xml:space="preserve">Overall (M ± SD)</w:t>
            </w:r>
          </w:p>
        </w:tc>
      </w:tr>
      <w:tr>
        <w:tc>
          <w:tcPr/>
          <w:p>
            <w:pPr>
              <w:pStyle w:val="Compact"/>
              <w:jc w:val="left"/>
            </w:pPr>
            <w:r>
              <w:t xml:space="preserve">Caused</w:t>
            </w:r>
          </w:p>
        </w:tc>
        <w:tc>
          <w:tcPr/>
          <w:p>
            <w:pPr>
              <w:pStyle w:val="Compact"/>
              <w:jc w:val="center"/>
            </w:pPr>
            <w:r>
              <w:t xml:space="preserve">3.56 ± 1.62</w:t>
            </w:r>
          </w:p>
        </w:tc>
        <w:tc>
          <w:tcPr/>
          <w:p>
            <w:pPr>
              <w:pStyle w:val="Compact"/>
              <w:jc w:val="center"/>
            </w:pPr>
            <w:r>
              <w:t xml:space="preserve">3.08 ± 1.40</w:t>
            </w:r>
          </w:p>
        </w:tc>
        <w:tc>
          <w:tcPr/>
          <w:p>
            <w:pPr>
              <w:pStyle w:val="Compact"/>
              <w:jc w:val="center"/>
            </w:pPr>
            <w:r>
              <w:t xml:space="preserve">2.07 ± 1.11</w:t>
            </w:r>
          </w:p>
        </w:tc>
        <w:tc>
          <w:tcPr/>
          <w:p>
            <w:pPr>
              <w:pStyle w:val="Compact"/>
              <w:jc w:val="center"/>
            </w:pPr>
            <w:r>
              <w:t xml:space="preserve">2.90 ± 1.11</w:t>
            </w:r>
          </w:p>
        </w:tc>
      </w:tr>
      <w:tr>
        <w:tc>
          <w:tcPr/>
          <w:p>
            <w:pPr>
              <w:pStyle w:val="Compact"/>
              <w:jc w:val="left"/>
            </w:pPr>
            <w:r>
              <w:t xml:space="preserve">Controlled</w:t>
            </w:r>
          </w:p>
        </w:tc>
        <w:tc>
          <w:tcPr/>
          <w:p>
            <w:pPr>
              <w:pStyle w:val="Compact"/>
              <w:jc w:val="center"/>
            </w:pPr>
            <w:r>
              <w:t xml:space="preserve">3.55 ± 1.63</w:t>
            </w:r>
          </w:p>
        </w:tc>
        <w:tc>
          <w:tcPr/>
          <w:p>
            <w:pPr>
              <w:pStyle w:val="Compact"/>
              <w:jc w:val="center"/>
            </w:pPr>
            <w:r>
              <w:t xml:space="preserve">2.92 ± 1.19</w:t>
            </w:r>
          </w:p>
        </w:tc>
        <w:tc>
          <w:tcPr/>
          <w:p>
            <w:pPr>
              <w:pStyle w:val="Compact"/>
              <w:jc w:val="center"/>
            </w:pPr>
            <w:r>
              <w:t xml:space="preserve">2.29 ± 1.42</w:t>
            </w:r>
          </w:p>
        </w:tc>
        <w:tc>
          <w:tcPr/>
          <w:p>
            <w:pPr>
              <w:pStyle w:val="Compact"/>
              <w:jc w:val="center"/>
            </w:pPr>
            <w:r>
              <w:t xml:space="preserve">2.92 ± 1.24</w:t>
            </w:r>
          </w:p>
        </w:tc>
      </w:tr>
      <w:tr>
        <w:tc>
          <w:tcPr/>
          <w:p>
            <w:pPr>
              <w:pStyle w:val="Compact"/>
              <w:jc w:val="left"/>
            </w:pPr>
            <w:r>
              <w:t xml:space="preserve">Predicted</w:t>
            </w:r>
          </w:p>
        </w:tc>
        <w:tc>
          <w:tcPr/>
          <w:p>
            <w:pPr>
              <w:pStyle w:val="Compact"/>
              <w:jc w:val="center"/>
            </w:pPr>
            <w:r>
              <w:t xml:space="preserve">3.67 ± 1.47</w:t>
            </w:r>
          </w:p>
        </w:tc>
        <w:tc>
          <w:tcPr/>
          <w:p>
            <w:pPr>
              <w:pStyle w:val="Compact"/>
              <w:jc w:val="center"/>
            </w:pPr>
            <w:r>
              <w:t xml:space="preserve">3.03 ± 1.06</w:t>
            </w:r>
          </w:p>
        </w:tc>
        <w:tc>
          <w:tcPr/>
          <w:p>
            <w:pPr>
              <w:pStyle w:val="Compact"/>
              <w:jc w:val="center"/>
            </w:pPr>
            <w:r>
              <w:t xml:space="preserve">2.82 ± 1.39</w:t>
            </w:r>
          </w:p>
        </w:tc>
        <w:tc>
          <w:tcPr/>
          <w:p>
            <w:pPr>
              <w:pStyle w:val="Compact"/>
              <w:jc w:val="center"/>
            </w:pPr>
            <w:r>
              <w:t xml:space="preserve">3.17 ± 1.12</w:t>
            </w:r>
          </w:p>
        </w:tc>
      </w:tr>
      <w:tr>
        <w:tc>
          <w:tcPr/>
          <w:p>
            <w:pPr>
              <w:pStyle w:val="Compact"/>
              <w:jc w:val="left"/>
            </w:pPr>
            <w:r>
              <w:t xml:space="preserve">Overall</w:t>
            </w:r>
          </w:p>
        </w:tc>
        <w:tc>
          <w:tcPr/>
          <w:p>
            <w:pPr>
              <w:pStyle w:val="Compact"/>
              <w:jc w:val="center"/>
            </w:pPr>
            <w:r>
              <w:t xml:space="preserve">3.59 ± 1.38</w:t>
            </w:r>
          </w:p>
        </w:tc>
        <w:tc>
          <w:tcPr/>
          <w:p>
            <w:pPr>
              <w:pStyle w:val="Compact"/>
              <w:jc w:val="center"/>
            </w:pPr>
            <w:r>
              <w:t xml:space="preserve">3.01 ± 0.92</w:t>
            </w:r>
          </w:p>
        </w:tc>
        <w:tc>
          <w:tcPr/>
          <w:p>
            <w:pPr>
              <w:pStyle w:val="Compact"/>
              <w:jc w:val="center"/>
            </w:pPr>
            <w:r>
              <w:t xml:space="preserve">2.39 ± 1.15</w:t>
            </w:r>
          </w:p>
        </w:tc>
        <w:tc>
          <w:tcPr/>
          <w:p>
            <w:pPr>
              <w:pStyle w:val="Compact"/>
              <w:jc w:val="center"/>
            </w:pPr>
            <w:r>
              <w:t xml:space="preserve">3.00 ± 0.98</w:t>
            </w:r>
          </w:p>
        </w:tc>
      </w:tr>
    </w:tbl>
    <w:p>
      <w:pPr>
        <w:pStyle w:val="BodyText"/>
      </w:pPr>
      <w:r>
        <w:t xml:space="preserve">Table X. Mean point results from Questionary data by condition and item (question), Experiment 3.</w:t>
      </w:r>
    </w:p>
    <w:p>
      <w:pPr>
        <w:pStyle w:val="BodyText"/>
      </w:pPr>
      <w:r>
        <w:rPr>
          <w:b/>
          <w:bCs/>
        </w:rPr>
        <w:t xml:space="preserve">Analyses</w:t>
      </w:r>
    </w:p>
    <w:p>
      <w:pPr>
        <w:pStyle w:val="BodyText"/>
      </w:pPr>
      <w:r>
        <w:t xml:space="preserve">The analysis followed the already established procedure — ratings were submitted to a 3 (Question type: caused, controlled, predicted) × 3 (Action Consistency: consistent, inconsistent, control) repeated-measures ANOVA, with Greenhouse–Geisser correction applied to all within-subject terms with more than one degree of freedom.</w:t>
      </w:r>
    </w:p>
    <w:p>
      <w:pPr>
        <w:pStyle w:val="BodyText"/>
      </w:pPr>
      <w:r>
        <w:t xml:space="preserve">A significant main effect of Action Consistency,</w:t>
      </w:r>
      <w:r>
        <w:t xml:space="preserve"> </w:t>
      </w:r>
      <w:r>
        <w:rPr>
          <w:i/>
          <w:iCs/>
        </w:rPr>
        <w:t xml:space="preserve">F</w:t>
      </w:r>
      <w:r>
        <w:t xml:space="preserve">(1.64, 78.71) = 29.13,</w:t>
      </w:r>
      <w:r>
        <w:t xml:space="preserve"> </w:t>
      </w:r>
      <w:r>
        <w:rPr>
          <w:i/>
          <w:iCs/>
        </w:rPr>
        <w:t xml:space="preserve">p</w:t>
      </w:r>
      <w:r>
        <w:t xml:space="preserve"> </w:t>
      </w:r>
      <w:r>
        <w:t xml:space="preserve">&lt; .001, η²ₚ = .378, closely matched the effect size found in Experiment 2 (η²ₚ = .394), though it remained substantially smaller than in Experiment 1 (η²ₚ = .673). Post hoc comparisons showed that, unlike in Experiment 2, all three levels differed significantly from each other (consistent vs. inconsistent: MD = 0.58,</w:t>
      </w:r>
      <w:r>
        <w:t xml:space="preserve"> </w:t>
      </w:r>
      <w:r>
        <w:rPr>
          <w:i/>
          <w:iCs/>
        </w:rPr>
        <w:t xml:space="preserve">t</w:t>
      </w:r>
      <w:r>
        <w:t xml:space="preserve">(48) = 3.68,</w:t>
      </w:r>
      <w:r>
        <w:t xml:space="preserve"> </w:t>
      </w:r>
      <w:r>
        <w:rPr>
          <w:i/>
          <w:iCs/>
        </w:rPr>
        <w:t xml:space="preserve">p</w:t>
      </w:r>
      <w:r>
        <w:t xml:space="preserve"> </w:t>
      </w:r>
      <w:r>
        <w:t xml:space="preserve">= .002; consistent vs. control: MD = 1.20,</w:t>
      </w:r>
      <w:r>
        <w:t xml:space="preserve"> </w:t>
      </w:r>
      <w:r>
        <w:rPr>
          <w:i/>
          <w:iCs/>
        </w:rPr>
        <w:t xml:space="preserve">t</w:t>
      </w:r>
      <w:r>
        <w:t xml:space="preserve">(48) = 6.44,</w:t>
      </w:r>
      <w:r>
        <w:t xml:space="preserve"> </w:t>
      </w:r>
      <w:r>
        <w:rPr>
          <w:i/>
          <w:iCs/>
        </w:rPr>
        <w:t xml:space="preserve">p</w:t>
      </w:r>
      <w:r>
        <w:t xml:space="preserve"> </w:t>
      </w:r>
      <w:r>
        <w:t xml:space="preserve">&lt; .001; inconsistent vs. control: MD = 0.62,</w:t>
      </w:r>
      <w:r>
        <w:t xml:space="preserve"> </w:t>
      </w:r>
      <w:r>
        <w:rPr>
          <w:i/>
          <w:iCs/>
        </w:rPr>
        <w:t xml:space="preserve">t</w:t>
      </w:r>
      <w:r>
        <w:t xml:space="preserve">(48) = 5.13,</w:t>
      </w:r>
      <w:r>
        <w:t xml:space="preserve"> </w:t>
      </w:r>
      <w:r>
        <w:rPr>
          <w:i/>
          <w:iCs/>
        </w:rPr>
        <w:t xml:space="preserve">p</w:t>
      </w:r>
      <w:r>
        <w:t xml:space="preserve"> </w:t>
      </w:r>
      <w:r>
        <w:t xml:space="preserve">&lt; .001). The simple main effect of Action Consistency was significant within every item (causation:</w:t>
      </w:r>
      <w:r>
        <w:t xml:space="preserve"> </w:t>
      </w:r>
      <w:r>
        <w:rPr>
          <w:i/>
          <w:iCs/>
        </w:rPr>
        <w:t xml:space="preserve">F</w:t>
      </w:r>
      <w:r>
        <w:t xml:space="preserve">(2, 96) = 26.33,</w:t>
      </w:r>
      <w:r>
        <w:t xml:space="preserve"> </w:t>
      </w:r>
      <w:r>
        <w:rPr>
          <w:i/>
          <w:iCs/>
        </w:rPr>
        <w:t xml:space="preserve">p</w:t>
      </w:r>
      <w:r>
        <w:t xml:space="preserve"> </w:t>
      </w:r>
      <w:r>
        <w:t xml:space="preserve">&lt; .001, η²ₚ = .354; control:</w:t>
      </w:r>
      <w:r>
        <w:t xml:space="preserve"> </w:t>
      </w:r>
      <w:r>
        <w:rPr>
          <w:i/>
          <w:iCs/>
        </w:rPr>
        <w:t xml:space="preserve">F</w:t>
      </w:r>
      <w:r>
        <w:t xml:space="preserve">(2, 96) = 25.86,</w:t>
      </w:r>
      <w:r>
        <w:t xml:space="preserve"> </w:t>
      </w:r>
      <w:r>
        <w:rPr>
          <w:i/>
          <w:iCs/>
        </w:rPr>
        <w:t xml:space="preserve">p</w:t>
      </w:r>
      <w:r>
        <w:t xml:space="preserve"> </w:t>
      </w:r>
      <w:r>
        <w:t xml:space="preserve">&lt; .001, η²ₚ = .350; prediction:</w:t>
      </w:r>
      <w:r>
        <w:t xml:space="preserve"> </w:t>
      </w:r>
      <w:r>
        <w:rPr>
          <w:i/>
          <w:iCs/>
        </w:rPr>
        <w:t xml:space="preserve">F</w:t>
      </w:r>
      <w:r>
        <w:t xml:space="preserve">(2, 96) = 13.44,</w:t>
      </w:r>
      <w:r>
        <w:t xml:space="preserve"> </w:t>
      </w:r>
      <w:r>
        <w:rPr>
          <w:i/>
          <w:iCs/>
        </w:rPr>
        <w:t xml:space="preserve">p</w:t>
      </w:r>
      <w:r>
        <w:t xml:space="preserve"> </w:t>
      </w:r>
      <w:r>
        <w:t xml:space="preserve">&lt; .001, η²ₚ = .219), smallest for prediction.</w:t>
      </w:r>
    </w:p>
    <w:p>
      <w:pPr>
        <w:pStyle w:val="BodyText"/>
      </w:pPr>
      <w:r>
        <w:t xml:space="preserve">Unlike in the previous two experiments, the main effect of Question type was not significant,</w:t>
      </w:r>
      <w:r>
        <w:t xml:space="preserve"> </w:t>
      </w:r>
      <w:r>
        <w:rPr>
          <w:i/>
          <w:iCs/>
        </w:rPr>
        <w:t xml:space="preserve">F</w:t>
      </w:r>
      <w:r>
        <w:t xml:space="preserve">(1.87, 89.85) = 1.93,</w:t>
      </w:r>
      <w:r>
        <w:t xml:space="preserve"> </w:t>
      </w:r>
      <w:r>
        <w:rPr>
          <w:i/>
          <w:iCs/>
        </w:rPr>
        <w:t xml:space="preserve">p</w:t>
      </w:r>
      <w:r>
        <w:t xml:space="preserve"> </w:t>
      </w:r>
      <w:r>
        <w:t xml:space="preserve">= .153, η²ₚ = .039. Its simple main effect, examined within each level of Action Consistency, was not significant within the consistent (</w:t>
      </w:r>
      <w:r>
        <w:rPr>
          <w:i/>
          <w:iCs/>
        </w:rPr>
        <w:t xml:space="preserve">F</w:t>
      </w:r>
      <w:r>
        <w:t xml:space="preserve">(2, 96) = 0.24,</w:t>
      </w:r>
      <w:r>
        <w:t xml:space="preserve"> </w:t>
      </w:r>
      <w:r>
        <w:rPr>
          <w:i/>
          <w:iCs/>
        </w:rPr>
        <w:t xml:space="preserve">p</w:t>
      </w:r>
      <w:r>
        <w:t xml:space="preserve"> </w:t>
      </w:r>
      <w:r>
        <w:t xml:space="preserve">= .788, η²ₚ = .005) or inconsistent conditions (</w:t>
      </w:r>
      <w:r>
        <w:rPr>
          <w:i/>
          <w:iCs/>
        </w:rPr>
        <w:t xml:space="preserve">F</w:t>
      </w:r>
      <w:r>
        <w:t xml:space="preserve">(2, 96) = 0.32,</w:t>
      </w:r>
      <w:r>
        <w:t xml:space="preserve"> </w:t>
      </w:r>
      <w:r>
        <w:rPr>
          <w:i/>
          <w:iCs/>
        </w:rPr>
        <w:t xml:space="preserve">p</w:t>
      </w:r>
      <w:r>
        <w:t xml:space="preserve"> </w:t>
      </w:r>
      <w:r>
        <w:t xml:space="preserve">= .725, η²ₚ = .007), but was significant within the control condition (</w:t>
      </w:r>
      <w:r>
        <w:rPr>
          <w:i/>
          <w:iCs/>
        </w:rPr>
        <w:t xml:space="preserve">F</w:t>
      </w:r>
      <w:r>
        <w:t xml:space="preserve">(2, 96) = 11.82,</w:t>
      </w:r>
      <w:r>
        <w:t xml:space="preserve"> </w:t>
      </w:r>
      <w:r>
        <w:rPr>
          <w:i/>
          <w:iCs/>
        </w:rPr>
        <w:t xml:space="preserve">p</w:t>
      </w:r>
      <w:r>
        <w:t xml:space="preserve"> </w:t>
      </w:r>
      <w:r>
        <w:t xml:space="preserve">&lt; .001, η²ₚ = .198).</w:t>
      </w:r>
    </w:p>
    <w:p>
      <w:pPr>
        <w:pStyle w:val="BodyText"/>
      </w:pPr>
      <w:r>
        <w:t xml:space="preserve">The Action Consistency × Question type interaction remained significant,</w:t>
      </w:r>
      <w:r>
        <w:t xml:space="preserve"> </w:t>
      </w:r>
      <w:r>
        <w:rPr>
          <w:i/>
          <w:iCs/>
        </w:rPr>
        <w:t xml:space="preserve">F</w:t>
      </w:r>
      <w:r>
        <w:t xml:space="preserve">(2.41, 115.46) = 6.27,</w:t>
      </w:r>
      <w:r>
        <w:t xml:space="preserve"> </w:t>
      </w:r>
      <w:r>
        <w:rPr>
          <w:i/>
          <w:iCs/>
        </w:rPr>
        <w:t xml:space="preserve">p</w:t>
      </w:r>
      <w:r>
        <w:t xml:space="preserve"> </w:t>
      </w:r>
      <w:r>
        <w:t xml:space="preserve">= .001, η²ₚ = .116 — the smallest of the three experiments (Experiment 1: η²ₚ = .403; Experiment 2: η²ₚ = .192). Post hoc comparisons conditioned on action consistency showed no significant difference between any pair of questions in either active condition. In the control condition, however, the predictive item was rated significantly higher than both causation (</w:t>
      </w:r>
      <w:r>
        <w:rPr>
          <w:i/>
          <w:iCs/>
        </w:rPr>
        <w:t xml:space="preserve">p</w:t>
      </w:r>
      <w:r>
        <w:t xml:space="preserve"> </w:t>
      </w:r>
      <w:r>
        <w:t xml:space="preserve">&lt; .001,</w:t>
      </w:r>
      <w:r>
        <w:t xml:space="preserve"> </w:t>
      </w:r>
      <w:r>
        <w:rPr>
          <w:i/>
          <w:iCs/>
        </w:rPr>
        <w:t xml:space="preserve">d</w:t>
      </w:r>
      <w:r>
        <w:t xml:space="preserve"> </w:t>
      </w:r>
      <w:r>
        <w:t xml:space="preserve">= −0.55) and controlled (</w:t>
      </w:r>
      <w:r>
        <w:rPr>
          <w:i/>
          <w:iCs/>
        </w:rPr>
        <w:t xml:space="preserve">p</w:t>
      </w:r>
      <w:r>
        <w:t xml:space="preserve"> </w:t>
      </w:r>
      <w:r>
        <w:t xml:space="preserve">= .032,</w:t>
      </w:r>
      <w:r>
        <w:t xml:space="preserve"> </w:t>
      </w:r>
      <w:r>
        <w:rPr>
          <w:i/>
          <w:iCs/>
        </w:rPr>
        <w:t xml:space="preserve">d</w:t>
      </w:r>
      <w:r>
        <w:t xml:space="preserve"> </w:t>
      </w:r>
      <w:r>
        <w:t xml:space="preserve">= −0.39), while causation and controlled did not differ from each other (</w:t>
      </w:r>
      <w:r>
        <w:rPr>
          <w:i/>
          <w:iCs/>
        </w:rPr>
        <w:t xml:space="preserve">p</w:t>
      </w:r>
      <w:r>
        <w:t xml:space="preserve"> </w:t>
      </w:r>
      <w:r>
        <w:t xml:space="preserve">= .225,</w:t>
      </w:r>
      <w:r>
        <w:t xml:space="preserve"> </w:t>
      </w:r>
      <w:r>
        <w:rPr>
          <w:i/>
          <w:iCs/>
        </w:rPr>
        <w:t xml:space="preserve">d</w:t>
      </w:r>
      <w:r>
        <w:t xml:space="preserve"> </w:t>
      </w:r>
      <w:r>
        <w:t xml:space="preserve">= −0.16).</w:t>
      </w:r>
    </w:p>
    <w:p>
      <w:pPr>
        <w:pStyle w:val="BodyText"/>
      </w:pPr>
      <w:r>
        <w:t xml:space="preserve">Conditioned on question type, post hoc comparisons showed that all three questions distinguished between all three conditions — unlike in Experiment 2, where they failed to do so within the active conditions. The items themselves, however, overlapped with one another even more here than in Experiment 2: the main effect of Question type, still significant in Experiment 2 (η²ₚ = .070), was no longer significant in Experiment 3 (η²ₚ = .039).</w:t>
      </w:r>
    </w:p>
    <w:p>
      <w:pPr>
        <w:pStyle w:val="BodyText"/>
      </w:pPr>
      <w:r>
        <w:t xml:space="preserve">[PLACEHOLDER — density plots of overall ratings per condition and item, Experiment 3, to be added.]</w:t>
      </w:r>
    </w:p>
    <w:p>
      <w:pPr>
        <w:pStyle w:val="BodyText"/>
      </w:pPr>
      <w:r>
        <w:rPr>
          <w:b/>
          <w:bCs/>
        </w:rPr>
        <w:t xml:space="preserve">Correlation</w:t>
      </w:r>
    </w:p>
    <w:p>
      <w:pPr>
        <w:pStyle w:val="BodyText"/>
      </w:pPr>
      <w:r>
        <w:t xml:space="preserve">Item scores were centered within-person in the same way as in Experiments 1 and 2 before entering the correlation analyses reported here. As in Experiment 2, the three items held together as a single coherent construct across every condition — every pairwise correlation between caused, controlled, and predicted reached significance in the consistent, inconsistent, and control conditions alike (rs = .28–.84, all</w:t>
      </w:r>
      <w:r>
        <w:t xml:space="preserve"> </w:t>
      </w:r>
      <w:r>
        <w:rPr>
          <w:i/>
          <w:iCs/>
        </w:rPr>
        <w:t xml:space="preserve">p</w:t>
      </w:r>
      <w:r>
        <w:t xml:space="preserve"> </w:t>
      </w:r>
      <w:r>
        <w:t xml:space="preserve">≤ .048).</w:t>
      </w:r>
    </w:p>
    <w:p>
      <w:pPr>
        <w:pStyle w:val="BodyText"/>
      </w:pPr>
      <w:r>
        <w:t xml:space="preserve">The condition-specific composite was again correlated with the matching implicit RT effect (</w:t>
      </w:r>
      <w:r>
        <w:rPr>
          <w:i/>
          <w:iCs/>
        </w:rPr>
        <w:t xml:space="preserve">d</w:t>
      </w:r>
      <w:r>
        <w:t xml:space="preserve">). Consistent and control replicated the null pattern already seen in both previous experiments (consistent: r = .09,</w:t>
      </w:r>
      <w:r>
        <w:t xml:space="preserve"> </w:t>
      </w:r>
      <w:r>
        <w:rPr>
          <w:i/>
          <w:iCs/>
        </w:rPr>
        <w:t xml:space="preserve">p</w:t>
      </w:r>
      <w:r>
        <w:t xml:space="preserve"> </w:t>
      </w:r>
      <w:r>
        <w:t xml:space="preserve">= .523; control: r = .02,</w:t>
      </w:r>
      <w:r>
        <w:t xml:space="preserve"> </w:t>
      </w:r>
      <w:r>
        <w:rPr>
          <w:i/>
          <w:iCs/>
        </w:rPr>
        <w:t xml:space="preserve">p</w:t>
      </w:r>
      <w:r>
        <w:t xml:space="preserve"> </w:t>
      </w:r>
      <w:r>
        <w:t xml:space="preserve">= .878). The inconsistent condition, however, broke that pattern: the composite correlated significantly and negatively with</w:t>
      </w:r>
      <w:r>
        <w:t xml:space="preserve"> </w:t>
      </w:r>
      <w:r>
        <w:rPr>
          <w:i/>
          <w:iCs/>
        </w:rPr>
        <w:t xml:space="preserve">d</w:t>
      </w:r>
      <w:r>
        <w:t xml:space="preserve"> </w:t>
      </w:r>
      <w:r>
        <w:t xml:space="preserve">(r = −.29,</w:t>
      </w:r>
      <w:r>
        <w:t xml:space="preserve"> </w:t>
      </w:r>
      <w:r>
        <w:rPr>
          <w:i/>
          <w:iCs/>
        </w:rPr>
        <w:t xml:space="preserve">p</w:t>
      </w:r>
      <w:r>
        <w:t xml:space="preserve"> </w:t>
      </w:r>
      <w:r>
        <w:t xml:space="preserve">= .042). Participants whose explicit rating in the inconsistent condition sat above their own personal baseline (who responded with higher ratings to all questions) showed a more reversed gaze-cueing effect there, while those whose rating dropped relative to baseline showed a more typical, gaze-following pattern. A supplementary item-level check showed this relationship was not evenly distributed across items: controlled (r = −.41, p = .004) and predicted (r = −.30, p = .033) individually related to RT effect size d more strongly than the composite, while caused showed no relationship (r = −.03, p = .835).</w:t>
      </w:r>
    </w:p>
    <w:p>
      <w:pPr>
        <w:pStyle w:val="BodyText"/>
      </w:pPr>
      <w:r>
        <w:rPr>
          <w:b/>
          <w:bCs/>
        </w:rPr>
        <w:t xml:space="preserve">Summary</w:t>
      </w:r>
    </w:p>
    <w:p>
      <w:pPr>
        <w:pStyle w:val="BodyText"/>
      </w:pPr>
      <w:r>
        <w:t xml:space="preserve">Experiment 3 tells a slightly different story than the previous two. Overall, both main effects remained significant — but both were smaller than the effects found in Experiment 2, with action consistency now showing the weakest effect of all three experiments, despite this experiment involving the richest movement modality of the three. The Gaze × Action interaction, however, stayed about the same size between Experiment 2 and Experiment 3, and was clearly significant in both — unlike Experiment 1, where it never reached significance. So the effects on their own grew somewhat weaker, but how gaze and action combine with each other did not — and that combination is where most of what’s interesting in Experiment 3 shows up.</w:t>
      </w:r>
    </w:p>
    <w:p>
      <w:pPr>
        <w:pStyle w:val="BodyText"/>
      </w:pPr>
      <w:r>
        <w:t xml:space="preserve">In all three experiments, the gaze-cueing effect itself was not reliable within the inconsistent condition — but the underlying pattern was not identical across experiments. In Experiment 1, the effect was simply weak: it did not reach significance, but it was not reversed either, and the overall interaction was not significant. Experiments 2 and 3, by contrast, showed the same qualitative pattern as each other: a reliable congruency effect in the consistent and control conditions, alongside a non-significant, numerically reversed congruency effect in the inconsistent condition (an effect that reaches significance in Experiment 3 once initiation time is controlled for). This points toward the more continuous movement used in Experiments 2 and 3 progressively increasing the distortion of the gaze-cueing effect.</w:t>
      </w:r>
    </w:p>
    <w:p>
      <w:pPr>
        <w:pStyle w:val="BodyText"/>
      </w:pPr>
      <w:r>
        <w:t xml:space="preserve">In Experiment 1, only the consistent condition was reliably faster than the passive control condition, with inconsistent numerically but not significantly faster. In Experiment 2, both active conditions were faster than control. In Experiment 3, however, neither active condition differed reliably from control (however the inconsistent condition reached significance when controlling for initiation time was done). Which condition was fastest in this experiment depended on whether the target ended up on the gazed-at side or not. Within congruent trials, consistent was fastest and inconsistent was the slowest — a different ordering from the earlier experiments, where control was always the slowest condition regardless of gaze.</w:t>
      </w:r>
    </w:p>
    <w:p>
      <w:pPr>
        <w:pStyle w:val="BodyText"/>
      </w:pPr>
      <w:r>
        <w:t xml:space="preserve">Turning to the questionnaire data, Experiment 3 continued the trend established across the previous two experiments: the three items became increasingly grouped together. Within the control condition, they still showed meaningful spread from one another, but within the active conditions, ratings converged, becoming nearly indistinguishable — part of a consistent, monotonic decline across the three experiments in how well the items differentiate from one another within a single active condition. This convergence may share its underlying cause with the RT reorganization described above. There, the richer touchscreen movement seemed to erode</w:t>
      </w:r>
      <w:r>
        <w:t xml:space="preserve"> </w:t>
      </w:r>
      <w:r>
        <w:t xml:space="preserve">“having acted”</w:t>
      </w:r>
      <w:r>
        <w:t xml:space="preserve"> </w:t>
      </w:r>
      <w:r>
        <w:t xml:space="preserve">as a differentiated signal — RT no longer distinguished consistent from control, and only a genuine conflict between one’s own choice and the gaze (the inconsistent condition) stood out. The same erosion of differentiation may be happening here: once an actual action is performed, the three explicit-SoA items collapse toward one shared, undifferentiated sense of</w:t>
      </w:r>
      <w:r>
        <w:t xml:space="preserve"> </w:t>
      </w:r>
      <w:r>
        <w:t xml:space="preserve">“having acted,”</w:t>
      </w:r>
      <w:r>
        <w:t xml:space="preserve"> </w:t>
      </w:r>
      <w:r>
        <w:t xml:space="preserve">rather than remaining distinguishable facets of causing, controlling, and predicting — something that does not happen when no action is made, or when the action is more instantaneous and ballistic, as with a keypress.</w:t>
      </w:r>
    </w:p>
    <w:p>
      <w:pPr>
        <w:pStyle w:val="BodyText"/>
      </w:pPr>
      <w:r>
        <w:t xml:space="preserve">Even though the items converged with each other, they still reliably distinguished between the three action-consistency conditions themselves, with a consistent hierarchy across all three experiments: caused remained the most discriminating item and predicted the least. One thing has not changed at all across the three experiments: whenever participants were passive (the control condition), prediction was consistently the most highly endorsed item.</w:t>
      </w:r>
    </w:p>
    <w:p>
      <w:pPr>
        <w:pStyle w:val="BodyText"/>
      </w:pPr>
      <w:r>
        <w:t xml:space="preserve">One finding stands out as unique to this experiment: a significant relationship between explicit ratings and implicit behaviour, absent in both Experiment 1 and Experiment 2. The negative composite–</w:t>
      </w:r>
      <w:r>
        <w:rPr>
          <w:i/>
          <w:iCs/>
        </w:rPr>
        <w:t xml:space="preserve">d</w:t>
      </w:r>
      <w:r>
        <w:t xml:space="preserve"> </w:t>
      </w:r>
      <w:r>
        <w:t xml:space="preserve">correlation within the inconsistent condition is worth spelling out in plain terms. People who rated this condition higher than their own personal average tended to be the same people whose reaction times showed more of a reversed,</w:t>
      </w:r>
      <w:r>
        <w:t xml:space="preserve"> </w:t>
      </w:r>
      <w:r>
        <w:t xml:space="preserve">“follow my own choice”</w:t>
      </w:r>
      <w:r>
        <w:t xml:space="preserve"> </w:t>
      </w:r>
      <w:r>
        <w:t xml:space="preserve">pattern; people who rated it lower than their own average tended to still show the normal, gaze-following pattern in their reaction times. In other words, the more someone subjectively felt they had caused or controlled the outcome, the more their actual behaviour also leaned toward their own choice rather than the gaze — and the less they felt that way, the more their behaviour looked like the default gaze-following response. This is a within-person link between how much agency someone felt and how much their own choice, rather than the gaze, actually shaped their reaction speed.</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2026-08-18T08:02:29Z</dcterms:created>
  <dcterms:modified xsi:type="dcterms:W3CDTF">2026-08-18T08:02:29Z</dcterms:modified>
</cp:coreProperties>
</file>

<file path=docProps/custom.xml><?xml version="1.0" encoding="utf-8"?>
<Properties xmlns="http://schemas.openxmlformats.org/officeDocument/2006/custom-properties" xmlns:vt="http://schemas.openxmlformats.org/officeDocument/2006/docPropsVTypes"/>
</file>