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59c8042481f70f3d7d0eb48ea5d5aa5a592b47"/>
    <w:p>
      <w:pPr>
        <w:pStyle w:val="Heading1"/>
      </w:pPr>
      <w:r>
        <w:t xml:space="preserve">General Discussion — Reaction Time Findings Across Experiments</w:t>
      </w:r>
    </w:p>
    <w:bookmarkStart w:id="9" w:name="summary-of-findings-rt"/>
    <w:p>
      <w:pPr>
        <w:pStyle w:val="Heading2"/>
      </w:pPr>
      <w:r>
        <w:t xml:space="preserve">Summary of Findings (RT)</w:t>
      </w:r>
    </w:p>
    <w:p>
      <w:pPr>
        <w:pStyle w:val="FirstParagraph"/>
      </w:pPr>
      <w:r>
        <w:t xml:space="preserve">Across all three experiments, a face’s gaze consistently pulls attention toward its target: people respond faster to a target appearing on the side a face had just looked toward, regardless of whether they registered their own action with a keypress, a mouse click, or a touchscreen tap (all</w:t>
      </w:r>
      <w:r>
        <w:t xml:space="preserve"> </w:t>
      </w:r>
      <w:r>
        <w:rPr>
          <w:i/>
          <w:iCs/>
        </w:rPr>
        <w:t xml:space="preserve">p</w:t>
      </w:r>
      <w:r>
        <w:t xml:space="preserve">s &lt; .001). The action effect follows the same pattern: across all three experiments, people respond faster on trials where a direction-selection action was performed than on control trials where no action was taken. Both of these main effects, in other words, are stable across response modality — the interesting modulation happens once gaze congruency and action consistency are considered together, as the rest of this section unpacks.</w:t>
      </w:r>
    </w:p>
    <w:p>
      <w:pPr>
        <w:pStyle w:val="BodyText"/>
      </w:pPr>
      <w:r>
        <w:t xml:space="preserve">Taken together with the raw-RT results, the individual-experiment results and the between-experiment analysis describe a consistent picture: the inconsistent condition — where the internally generated cue is not predictive of the outcome — is where the GC effect becomes unreliable. It is never significant on its own in any single experiment: not significant in Experiment 1, numerically reversed but still not significant in Experiment 2, and reversed and only reaching significance in Experiment 3 once initiation time is controlled for. The cross-experiment omnibus analysis shows the same thing: collapsed across experiment, the gaze effect within inconsistent trials is not significant, though numerically reversed (incongruent trials faster than congruent). This reversal appears specifically in the two experiments with richer movement (mouse, touchscreen), not in the keypress experiment — in Experiment 1, gaze and action behave as two independent factors, but in Experiments 2 and 3 the two start to interact, and it’s this interaction that not only makes the GC effect unreliable but actively reverses it. Testing modality directly within this condition, only Experiment 1 and Experiment 3 differ significantly from each other; Experiment 2 sits numerically between them but is not statistically distinguishable from either.</w:t>
      </w:r>
    </w:p>
    <w:p>
      <w:pPr>
        <w:pStyle w:val="BodyText"/>
      </w:pPr>
      <w:r>
        <w:t xml:space="preserve">In other words, if response modality changes how action consistency modulates the gaze-cueing effect at all, that influence shows up specifically when the internally generated predictive cue conflicts with the external gaze cue — in those situations, the internal cue appears to override the external one. When the two cues are in sync instead (the consistent condition), no such modality-driven modulation appears in the omnibus analyses, though the three individual experiments hint at something worth checking more directly: we therefore also examined whether the consistent-vs-control gap itself depends on gaze congruency, since the congruent version of that comparison combines both the action itself and a fulfilled internal prediction, while the incongruent version isolates the action alone (the internal prediction is no longer informative about where the target will appear).</w:t>
      </w:r>
    </w:p>
    <w:p>
      <w:pPr>
        <w:pStyle w:val="BodyText"/>
      </w:pPr>
      <w:r>
        <w:t xml:space="preserve">Adding gaze congruency to the picture, the consistent-vs-control comparison develops differently across the three experiments. [NOTE — Experiment 1’s Gaze × Action interaction was not significant, so this specific gaze-conditioned breakdown was never formally reported in Experiment 1.] In Experiment 1, the consistent advantage over control held up equally in congruent and incongruent trials (−20.63 ms vs. −19.72 ms,</w:t>
      </w:r>
      <w:r>
        <w:t xml:space="preserve"> </w:t>
      </w:r>
      <w:r>
        <w:rPr>
          <w:i/>
          <w:iCs/>
        </w:rPr>
        <w:t xml:space="preserve">t</w:t>
      </w:r>
      <w:r>
        <w:t xml:space="preserve">(40) = −0.12,</w:t>
      </w:r>
      <w:r>
        <w:t xml:space="preserve"> </w:t>
      </w:r>
      <w:r>
        <w:rPr>
          <w:i/>
          <w:iCs/>
        </w:rPr>
        <w:t xml:space="preserve">p</w:t>
      </w:r>
      <w:r>
        <w:t xml:space="preserve"> </w:t>
      </w:r>
      <w:r>
        <w:t xml:space="preserve">= .903) — the advantage didn’t depend on the gaze cue being reliable; simply having made a matching choice was enough on its own. In Experiment 2, the advantage was significantly larger when the gaze cue was reliable (congruent, −27.96 ms) than when it wasn’t (incongruent, −12.91 ms;</w:t>
      </w:r>
      <w:r>
        <w:t xml:space="preserve"> </w:t>
      </w:r>
      <w:r>
        <w:rPr>
          <w:i/>
          <w:iCs/>
        </w:rPr>
        <w:t xml:space="preserve">t</w:t>
      </w:r>
      <w:r>
        <w:t xml:space="preserve">(47) = −2.14,</w:t>
      </w:r>
      <w:r>
        <w:t xml:space="preserve"> </w:t>
      </w:r>
      <w:r>
        <w:rPr>
          <w:i/>
          <w:iCs/>
        </w:rPr>
        <w:t xml:space="preserve">p</w:t>
      </w:r>
      <w:r>
        <w:t xml:space="preserve"> </w:t>
      </w:r>
      <w:r>
        <w:t xml:space="preserve">= .037) — here it wasn’t the action itself but the fulfilled predictive expectation that mattered. In Experiment 3, the advantage held in neither gaze condition, and didn’t differ between them either (−13.05 ms vs. −6.91 ms,</w:t>
      </w:r>
      <w:r>
        <w:t xml:space="preserve"> </w:t>
      </w:r>
      <w:r>
        <w:rPr>
          <w:i/>
          <w:iCs/>
        </w:rPr>
        <w:t xml:space="preserve">t</w:t>
      </w:r>
      <w:r>
        <w:t xml:space="preserve">(48) = −1.02,</w:t>
      </w:r>
      <w:r>
        <w:t xml:space="preserve"> </w:t>
      </w:r>
      <w:r>
        <w:rPr>
          <w:i/>
          <w:iCs/>
        </w:rPr>
        <w:t xml:space="preserve">p</w:t>
      </w:r>
      <w:r>
        <w:t xml:space="preserve"> </w:t>
      </w:r>
      <w:r>
        <w:t xml:space="preserve">= .314) — with the larger touchscreen movement, neither the action nor its predictability was enough to beat control. This suggests the more extensive movement attenuated the role of internally generated predictive cues, particularly when they aligned with the external gaze cue. However, since the omnibus between-experiment analysis found no significant modality effect for the consistent condition itself, this specific comparison should be treated as an exploratory finding rather than a confirmed effect — worth following up, not yet established.</w:t>
      </w:r>
    </w:p>
    <w:p>
      <w:pPr>
        <w:pStyle w:val="BodyText"/>
      </w:pPr>
      <w:r>
        <w:t xml:space="preserve">Regarding the central question - whether a person’s own preceding action changes the size of this gaze effect - the results slightly vary across the three experiments.</w:t>
      </w:r>
    </w:p>
    <w:p>
      <w:pPr>
        <w:pStyle w:val="BodyText"/>
      </w:pPr>
      <w:r>
        <w:t xml:space="preserve">In Experiment 1, the gaze effect and the action effect operated independently: both showed individual main effects, but no significant interaction between them,</w:t>
      </w:r>
      <w:r>
        <w:t xml:space="preserve"> </w:t>
      </w:r>
      <w:r>
        <w:rPr>
          <w:i/>
          <w:iCs/>
        </w:rPr>
        <w:t xml:space="preserve">F</w:t>
      </w:r>
      <w:r>
        <w:t xml:space="preserve">(1.98, 79.38) = 1.09,</w:t>
      </w:r>
      <w:r>
        <w:t xml:space="preserve"> </w:t>
      </w:r>
      <w:r>
        <w:rPr>
          <w:i/>
          <w:iCs/>
        </w:rPr>
        <w:t xml:space="preserve">p</w:t>
      </w:r>
      <w:r>
        <w:t xml:space="preserve"> </w:t>
      </w:r>
      <w:r>
        <w:t xml:space="preserve">= .341. A keypress response did not appear substantial enough to become bound to the outcome that followed it. Although congruent trials were numerically faster than incongruent ones across all action conditions, simple-effects analysis showed no significant GC effect in the inconsistent action condition.</w:t>
      </w:r>
      <w:r>
        <w:t xml:space="preserve"> </w:t>
      </w:r>
      <w:r>
        <w:t xml:space="preserve">Once the action involved a larger, more deliberate movement — a mouse click for direction selection in place of a keypress (Experiment 2) — the gaze effect and the action effect began to interact,</w:t>
      </w:r>
      <w:r>
        <w:t xml:space="preserve"> </w:t>
      </w:r>
      <w:r>
        <w:rPr>
          <w:i/>
          <w:iCs/>
        </w:rPr>
        <w:t xml:space="preserve">F</w:t>
      </w:r>
      <w:r>
        <w:t xml:space="preserve">(1.90, 89.38) = 12.17,</w:t>
      </w:r>
      <w:r>
        <w:t xml:space="preserve"> </w:t>
      </w:r>
      <w:r>
        <w:rPr>
          <w:i/>
          <w:iCs/>
        </w:rPr>
        <w:t xml:space="preserve">p</w:t>
      </w:r>
      <w:r>
        <w:t xml:space="preserve"> </w:t>
      </w:r>
      <w:r>
        <w:t xml:space="preserve">&lt; .001. The GC effect remained intact when the action’s outcome matched the participant’s selection, or when no action was taken. When the action’s outcome contradicted the selection, however, the GC effect was not just reduced — it reversed direction. Although the difference did not reach significance (</w:t>
      </w:r>
      <w:r>
        <w:rPr>
          <w:i/>
          <w:iCs/>
        </w:rPr>
        <w:t xml:space="preserve">p</w:t>
      </w:r>
      <w:r>
        <w:t xml:space="preserve"> </w:t>
      </w:r>
      <w:r>
        <w:t xml:space="preserve">= .070), incongruent trials were numerically faster than congruent ones in the inconsistent condition. In other words, people reacted faster to targets that appeared on the side they had selected than on the side cued by the external gaze cue. In Experiment 3 (where selection was made via touchscreen), the same pattern recurred. The interaction remained significant,</w:t>
      </w:r>
      <w:r>
        <w:t xml:space="preserve"> </w:t>
      </w:r>
      <w:r>
        <w:rPr>
          <w:i/>
          <w:iCs/>
        </w:rPr>
        <w:t xml:space="preserve">F</w:t>
      </w:r>
      <w:r>
        <w:t xml:space="preserve">(1.71, 82.23) = 13.43,</w:t>
      </w:r>
      <w:r>
        <w:t xml:space="preserve"> </w:t>
      </w:r>
      <w:r>
        <w:rPr>
          <w:i/>
          <w:iCs/>
        </w:rPr>
        <w:t xml:space="preserve">p</w:t>
      </w:r>
      <w:r>
        <w:t xml:space="preserve"> </w:t>
      </w:r>
      <w:r>
        <w:t xml:space="preserve">&lt; .001, and the reversal within the inconsistent condition approached significance on its own,</w:t>
      </w:r>
      <w:r>
        <w:t xml:space="preserve"> </w:t>
      </w:r>
      <w:r>
        <w:rPr>
          <w:i/>
          <w:iCs/>
        </w:rPr>
        <w:t xml:space="preserve">p</w:t>
      </w:r>
      <w:r>
        <w:t xml:space="preserve"> </w:t>
      </w:r>
      <w:r>
        <w:t xml:space="preserve">= .056 (and even reached significance once individual differences in initiation time were controlled for). This suggests that the outcome of one’s own action may interfere with, rather than simply fail to add to, the effect of someone else’s gaze — especially when there was a mismatch between the predicted/desired and actual outcome.</w:t>
      </w:r>
      <w:r>
        <w:t xml:space="preserve"> </w:t>
      </w:r>
      <w:r>
        <w:t xml:space="preserve">A further question was whether the modality of the direction-selection movement could add to the divergence in the gaze-cueing effect. A cross-experiment comparison was conducted to test this. On raw response times, this produced a three-way interaction that fell just short of conventional significance,</w:t>
      </w:r>
      <w:r>
        <w:t xml:space="preserve"> </w:t>
      </w:r>
      <w:r>
        <w:rPr>
          <w:i/>
          <w:iCs/>
        </w:rPr>
        <w:t xml:space="preserve">p</w:t>
      </w:r>
      <w:r>
        <w:t xml:space="preserve"> </w:t>
      </w:r>
      <w:r>
        <w:t xml:space="preserve">= .061. Furthermore, a comparison of the standardized gaze-cueing effect (Cohen’s</w:t>
      </w:r>
      <w:r>
        <w:t xml:space="preserve"> </w:t>
      </w:r>
      <w:r>
        <w:rPr>
          <w:i/>
          <w:iCs/>
        </w:rPr>
        <w:t xml:space="preserve">d</w:t>
      </w:r>
      <w:r>
        <w:t xml:space="preserve">) showed a significant three-way interaction, suggesting that movement modality does plausibly play a role, compounding the influence of action-outcome consistency on gaze cueing. Further exploration showed that this difference was most clearly seen between the button-press and touchscreen-tap studies, specifically in the inconsistent condition, with the mouse-click study positioned between the two without being clearly distinguishable from either.</w:t>
      </w:r>
    </w:p>
    <w:p>
      <w:pPr>
        <w:pStyle w:val="BodyText"/>
      </w:pPr>
      <w:r>
        <w:t xml:space="preserve">Taken together, the results suggest that what mattered was action-outcome consistency — specifically, when the action’s outcome violated the participant’s expectation, which resulted in an unstable gaze-cueing effect. Once movement modality was taken into account, this instability went further still: the GC effect did not merely disappear, but reversed.</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2026-08-18T08:09:14Z</dcterms:created>
  <dcterms:modified xsi:type="dcterms:W3CDTF">2026-08-18T08:09:14Z</dcterms:modified>
</cp:coreProperties>
</file>

<file path=docProps/custom.xml><?xml version="1.0" encoding="utf-8"?>
<Properties xmlns="http://schemas.openxmlformats.org/officeDocument/2006/custom-properties" xmlns:vt="http://schemas.openxmlformats.org/officeDocument/2006/docPropsVTypes"/>
</file>